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5A" w:rsidRDefault="00B2045A" w:rsidP="007C1A24">
      <w:pPr>
        <w:jc w:val="center"/>
        <w:rPr>
          <w:sz w:val="40"/>
          <w:szCs w:val="40"/>
          <w:u w:val="single"/>
        </w:rPr>
      </w:pPr>
    </w:p>
    <w:p w:rsidR="007C1A24" w:rsidRPr="00AB3626" w:rsidRDefault="007C1A24" w:rsidP="007C1A24">
      <w:pPr>
        <w:jc w:val="center"/>
        <w:rPr>
          <w:rFonts w:ascii="Arial" w:hAnsi="Arial" w:cs="Arial"/>
          <w:sz w:val="40"/>
          <w:szCs w:val="40"/>
          <w:u w:val="single"/>
        </w:rPr>
      </w:pPr>
      <w:r w:rsidRPr="00AB3626">
        <w:rPr>
          <w:rFonts w:ascii="Arial" w:hAnsi="Arial" w:cs="Arial"/>
          <w:sz w:val="40"/>
          <w:szCs w:val="40"/>
          <w:u w:val="single"/>
        </w:rPr>
        <w:t>TECHNICKÁ ZPRÁVA</w:t>
      </w:r>
    </w:p>
    <w:p w:rsidR="007C1A24" w:rsidRDefault="007C1A24">
      <w:pPr>
        <w:rPr>
          <w:b/>
          <w:u w:val="single"/>
        </w:rPr>
      </w:pPr>
    </w:p>
    <w:p w:rsidR="00B2045A" w:rsidRDefault="00B2045A">
      <w:pPr>
        <w:rPr>
          <w:b/>
          <w:u w:val="single"/>
        </w:rPr>
      </w:pPr>
    </w:p>
    <w:p w:rsidR="00D92EF8" w:rsidRDefault="00401D9E">
      <w:pPr>
        <w:rPr>
          <w:b/>
          <w:sz w:val="28"/>
          <w:szCs w:val="28"/>
          <w:u w:val="single"/>
        </w:rPr>
      </w:pPr>
      <w:r w:rsidRPr="00B2045A">
        <w:rPr>
          <w:b/>
          <w:sz w:val="28"/>
          <w:szCs w:val="28"/>
          <w:u w:val="single"/>
        </w:rPr>
        <w:t>OBSAH</w:t>
      </w:r>
    </w:p>
    <w:p w:rsidR="00B2045A" w:rsidRPr="00B2045A" w:rsidRDefault="00B2045A">
      <w:pPr>
        <w:rPr>
          <w:b/>
          <w:sz w:val="28"/>
          <w:szCs w:val="28"/>
          <w:u w:val="single"/>
        </w:rPr>
      </w:pPr>
    </w:p>
    <w:p w:rsidR="00401D9E" w:rsidRPr="0028521B" w:rsidRDefault="00B2045A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Identifikační údaje</w:t>
      </w:r>
    </w:p>
    <w:p w:rsidR="00B2045A" w:rsidRPr="0028521B" w:rsidRDefault="00E6438E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Úvod</w:t>
      </w:r>
    </w:p>
    <w:p w:rsidR="0035442B" w:rsidRPr="0028521B" w:rsidRDefault="0035442B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 xml:space="preserve">Obsah projektu </w:t>
      </w:r>
    </w:p>
    <w:p w:rsidR="0035442B" w:rsidRPr="0028521B" w:rsidRDefault="0035442B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Projekční předpoklady</w:t>
      </w:r>
    </w:p>
    <w:p w:rsidR="0035442B" w:rsidRPr="0028521B" w:rsidRDefault="0035442B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Technická data</w:t>
      </w:r>
    </w:p>
    <w:p w:rsidR="00B2045A" w:rsidRPr="0028521B" w:rsidRDefault="00B2045A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Popis zařízení</w:t>
      </w:r>
    </w:p>
    <w:p w:rsidR="00B2045A" w:rsidRPr="0028521B" w:rsidRDefault="00B2045A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Připojení do provozu</w:t>
      </w:r>
    </w:p>
    <w:p w:rsidR="0028521B" w:rsidRPr="0028521B" w:rsidRDefault="0028521B" w:rsidP="0028521B">
      <w:pPr>
        <w:pStyle w:val="Bezmezer"/>
        <w:numPr>
          <w:ilvl w:val="0"/>
          <w:numId w:val="25"/>
        </w:numPr>
        <w:spacing w:line="360" w:lineRule="auto"/>
        <w:rPr>
          <w:rFonts w:cs="Arial"/>
          <w:bCs/>
          <w:sz w:val="28"/>
          <w:szCs w:val="28"/>
        </w:rPr>
      </w:pPr>
      <w:r w:rsidRPr="0028521B">
        <w:rPr>
          <w:rFonts w:cs="Arial"/>
          <w:bCs/>
          <w:sz w:val="28"/>
          <w:szCs w:val="28"/>
        </w:rPr>
        <w:t>Záv</w:t>
      </w:r>
      <w:r w:rsidRPr="0028521B">
        <w:rPr>
          <w:rFonts w:cs="Arial,Bold"/>
          <w:bCs/>
          <w:sz w:val="28"/>
          <w:szCs w:val="28"/>
        </w:rPr>
        <w:t>ě</w:t>
      </w:r>
      <w:r w:rsidRPr="0028521B">
        <w:rPr>
          <w:rFonts w:cs="Arial"/>
          <w:bCs/>
          <w:sz w:val="28"/>
          <w:szCs w:val="28"/>
        </w:rPr>
        <w:t>re</w:t>
      </w:r>
      <w:r w:rsidRPr="0028521B">
        <w:rPr>
          <w:rFonts w:cs="Arial,Bold"/>
          <w:bCs/>
          <w:sz w:val="28"/>
          <w:szCs w:val="28"/>
        </w:rPr>
        <w:t>č</w:t>
      </w:r>
      <w:r w:rsidRPr="0028521B">
        <w:rPr>
          <w:rFonts w:cs="Arial"/>
          <w:bCs/>
          <w:sz w:val="28"/>
          <w:szCs w:val="28"/>
        </w:rPr>
        <w:t>né ustanovení</w:t>
      </w:r>
    </w:p>
    <w:p w:rsidR="0028521B" w:rsidRPr="0028521B" w:rsidRDefault="0028521B" w:rsidP="0028521B">
      <w:pPr>
        <w:pStyle w:val="Bezmezer"/>
        <w:numPr>
          <w:ilvl w:val="0"/>
          <w:numId w:val="25"/>
        </w:numPr>
        <w:spacing w:line="360" w:lineRule="auto"/>
        <w:rPr>
          <w:rFonts w:cs="Arial"/>
          <w:bCs/>
          <w:sz w:val="28"/>
          <w:szCs w:val="28"/>
        </w:rPr>
      </w:pPr>
      <w:r w:rsidRPr="0028521B">
        <w:rPr>
          <w:rFonts w:cs="Arial"/>
          <w:bCs/>
          <w:sz w:val="28"/>
          <w:szCs w:val="28"/>
        </w:rPr>
        <w:t>Související p</w:t>
      </w:r>
      <w:r w:rsidRPr="0028521B">
        <w:rPr>
          <w:rFonts w:cs="Arial,Bold"/>
          <w:bCs/>
          <w:sz w:val="28"/>
          <w:szCs w:val="28"/>
        </w:rPr>
        <w:t>ř</w:t>
      </w:r>
      <w:r w:rsidRPr="0028521B">
        <w:rPr>
          <w:rFonts w:cs="Arial"/>
          <w:bCs/>
          <w:sz w:val="28"/>
          <w:szCs w:val="28"/>
        </w:rPr>
        <w:t>edpisy</w:t>
      </w:r>
    </w:p>
    <w:p w:rsidR="0028521B" w:rsidRPr="0028521B" w:rsidRDefault="0028521B" w:rsidP="0028521B">
      <w:pPr>
        <w:autoSpaceDE w:val="0"/>
        <w:autoSpaceDN w:val="0"/>
        <w:adjustRightInd w:val="0"/>
        <w:ind w:left="720"/>
        <w:rPr>
          <w:rFonts w:cs="Arial"/>
          <w:b/>
          <w:bCs/>
          <w:sz w:val="24"/>
          <w:szCs w:val="24"/>
        </w:rPr>
      </w:pPr>
    </w:p>
    <w:p w:rsidR="0028521B" w:rsidRPr="0028521B" w:rsidRDefault="0028521B" w:rsidP="0028521B">
      <w:pPr>
        <w:autoSpaceDE w:val="0"/>
        <w:autoSpaceDN w:val="0"/>
        <w:adjustRightInd w:val="0"/>
        <w:spacing w:line="360" w:lineRule="auto"/>
        <w:ind w:left="720"/>
        <w:rPr>
          <w:rFonts w:cs="Arial"/>
          <w:b/>
          <w:bCs/>
          <w:sz w:val="24"/>
          <w:szCs w:val="24"/>
        </w:rPr>
      </w:pPr>
    </w:p>
    <w:p w:rsidR="00B2045A" w:rsidRDefault="00B2045A" w:rsidP="00B2045A">
      <w:pPr>
        <w:pStyle w:val="Odstavecseseznamem"/>
        <w:spacing w:after="0"/>
      </w:pPr>
    </w:p>
    <w:p w:rsidR="00766D87" w:rsidRDefault="00766D87" w:rsidP="00B2045A">
      <w:pPr>
        <w:pStyle w:val="Odstavecseseznamem"/>
        <w:spacing w:after="0"/>
      </w:pPr>
    </w:p>
    <w:p w:rsidR="00766D87" w:rsidRDefault="00766D87" w:rsidP="00B2045A">
      <w:pPr>
        <w:pStyle w:val="Odstavecseseznamem"/>
        <w:spacing w:after="0"/>
      </w:pPr>
    </w:p>
    <w:p w:rsidR="00766D87" w:rsidRDefault="00766D87" w:rsidP="00B2045A">
      <w:pPr>
        <w:pStyle w:val="Odstavecseseznamem"/>
        <w:spacing w:after="0"/>
      </w:pPr>
    </w:p>
    <w:p w:rsidR="00DD5FC8" w:rsidRDefault="00DD5FC8" w:rsidP="00B2045A">
      <w:pPr>
        <w:pStyle w:val="Odstavecseseznamem"/>
        <w:spacing w:after="0"/>
      </w:pPr>
    </w:p>
    <w:p w:rsidR="00B2045A" w:rsidRDefault="00B2045A" w:rsidP="00B2045A">
      <w:pPr>
        <w:pStyle w:val="Odstavecseseznamem"/>
        <w:spacing w:after="0"/>
      </w:pPr>
    </w:p>
    <w:p w:rsidR="00F744E6" w:rsidRDefault="00F744E6" w:rsidP="00B2045A">
      <w:pPr>
        <w:pStyle w:val="Odstavecseseznamem"/>
        <w:spacing w:after="0"/>
      </w:pPr>
    </w:p>
    <w:p w:rsidR="00F744E6" w:rsidRDefault="00F744E6" w:rsidP="00B2045A">
      <w:pPr>
        <w:pStyle w:val="Odstavecseseznamem"/>
        <w:spacing w:after="0"/>
      </w:pPr>
    </w:p>
    <w:p w:rsidR="00F744E6" w:rsidRDefault="00F744E6" w:rsidP="00B2045A">
      <w:pPr>
        <w:pStyle w:val="Odstavecseseznamem"/>
        <w:spacing w:after="0"/>
      </w:pPr>
    </w:p>
    <w:p w:rsidR="00EC3383" w:rsidRDefault="00EC3383" w:rsidP="005E61F8">
      <w:pPr>
        <w:pStyle w:val="Odstavecseseznamem"/>
        <w:spacing w:after="0"/>
        <w:ind w:left="1806"/>
      </w:pPr>
    </w:p>
    <w:p w:rsidR="00EC3383" w:rsidRDefault="00EC3383" w:rsidP="00401D9E">
      <w:pPr>
        <w:pStyle w:val="Odstavecseseznamem"/>
        <w:ind w:left="1806"/>
      </w:pPr>
    </w:p>
    <w:p w:rsidR="00EC3383" w:rsidRDefault="00EC3383" w:rsidP="00401D9E">
      <w:pPr>
        <w:pStyle w:val="Odstavecseseznamem"/>
        <w:ind w:left="1806"/>
      </w:pPr>
    </w:p>
    <w:p w:rsidR="00EC3383" w:rsidRDefault="00EC3383" w:rsidP="00401D9E">
      <w:pPr>
        <w:pStyle w:val="Odstavecseseznamem"/>
        <w:ind w:left="1806"/>
      </w:pPr>
    </w:p>
    <w:p w:rsidR="00EC3383" w:rsidRPr="009003EE" w:rsidRDefault="008C1C09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lastRenderedPageBreak/>
        <w:t>Identifikační údaje.</w:t>
      </w:r>
    </w:p>
    <w:p w:rsidR="007A1A90" w:rsidRDefault="007A1A90" w:rsidP="00960C99">
      <w:pPr>
        <w:pStyle w:val="Bezmezer"/>
        <w:ind w:left="284" w:hanging="284"/>
        <w:rPr>
          <w:highlight w:val="yellow"/>
        </w:rPr>
      </w:pPr>
    </w:p>
    <w:p w:rsidR="00801CCD" w:rsidRPr="00850D37" w:rsidRDefault="00801CCD" w:rsidP="00960C99">
      <w:pPr>
        <w:pStyle w:val="Bezmezer"/>
        <w:ind w:left="284" w:hanging="284"/>
      </w:pPr>
      <w:r>
        <w:t>Akce</w:t>
      </w:r>
      <w:r w:rsidRPr="00850D37">
        <w:t>:</w:t>
      </w:r>
      <w:r>
        <w:tab/>
      </w:r>
      <w:r>
        <w:tab/>
      </w:r>
      <w:r w:rsidR="00DD367F">
        <w:t xml:space="preserve">Speciální výslechová místnost, MŠ </w:t>
      </w:r>
      <w:proofErr w:type="spellStart"/>
      <w:r w:rsidR="00DD367F">
        <w:t>Konská</w:t>
      </w:r>
      <w:proofErr w:type="spellEnd"/>
      <w:r w:rsidR="00DD367F">
        <w:t xml:space="preserve"> 419, Třinec-</w:t>
      </w:r>
      <w:proofErr w:type="spellStart"/>
      <w:r w:rsidR="00DD367F">
        <w:t>Konská</w:t>
      </w:r>
      <w:proofErr w:type="spellEnd"/>
      <w:r w:rsidR="00DD367F">
        <w:t xml:space="preserve"> 739 61</w:t>
      </w:r>
    </w:p>
    <w:p w:rsidR="007A1A90" w:rsidRPr="00850D37" w:rsidRDefault="007A1A90" w:rsidP="00960C99">
      <w:pPr>
        <w:pStyle w:val="Bezmezer"/>
        <w:ind w:left="284" w:hanging="284"/>
      </w:pPr>
      <w:r w:rsidRPr="00850D37">
        <w:t>Název:</w:t>
      </w:r>
      <w:r w:rsidR="00354A8D">
        <w:tab/>
      </w:r>
      <w:r>
        <w:tab/>
      </w:r>
      <w:r w:rsidR="00C97E2A">
        <w:t>Silová e</w:t>
      </w:r>
      <w:r w:rsidR="00354A8D">
        <w:t>lektroinstalace</w:t>
      </w:r>
      <w:r w:rsidR="00E47DCF">
        <w:t xml:space="preserve"> – časové spínání zásuvkových vývodů</w:t>
      </w:r>
    </w:p>
    <w:p w:rsidR="00354A8D" w:rsidRPr="0070327B" w:rsidRDefault="00354A8D" w:rsidP="00960C99">
      <w:pPr>
        <w:pStyle w:val="Bezmezer"/>
        <w:ind w:left="284" w:hanging="284"/>
        <w:rPr>
          <w:rFonts w:asciiTheme="minorHAnsi" w:hAnsiTheme="minorHAnsi"/>
        </w:rPr>
      </w:pPr>
      <w:r w:rsidRPr="0070327B">
        <w:rPr>
          <w:rFonts w:asciiTheme="minorHAnsi" w:hAnsiTheme="minorHAnsi"/>
        </w:rPr>
        <w:t>Investor:</w:t>
      </w:r>
      <w:r w:rsidRPr="0070327B">
        <w:rPr>
          <w:rFonts w:asciiTheme="minorHAnsi" w:hAnsiTheme="minorHAnsi"/>
        </w:rPr>
        <w:tab/>
      </w:r>
      <w:r w:rsidR="00DD367F">
        <w:rPr>
          <w:rFonts w:asciiTheme="minorHAnsi" w:hAnsiTheme="minorHAnsi" w:cs="Arial"/>
        </w:rPr>
        <w:t>Město Třinec, Jablunkovská 160, 739 61 Třinec</w:t>
      </w:r>
    </w:p>
    <w:p w:rsidR="00592D47" w:rsidRDefault="00592D47" w:rsidP="00960C99">
      <w:pPr>
        <w:pStyle w:val="Bezmezer"/>
        <w:ind w:left="284" w:hanging="284"/>
      </w:pPr>
    </w:p>
    <w:p w:rsidR="007A1A90" w:rsidRPr="00850D37" w:rsidRDefault="007A1A90" w:rsidP="00960C99">
      <w:pPr>
        <w:pStyle w:val="Bezmezer"/>
        <w:ind w:left="284" w:hanging="284"/>
      </w:pPr>
      <w:r>
        <w:t>Projektant</w:t>
      </w:r>
      <w:r w:rsidR="009C6A51">
        <w:t xml:space="preserve"> elektro</w:t>
      </w:r>
      <w:r w:rsidRPr="00850D37">
        <w:t>:</w:t>
      </w:r>
      <w:r w:rsidR="00592D47">
        <w:t xml:space="preserve">   </w:t>
      </w:r>
      <w:r>
        <w:t>Petr Kubala, Ciolkovského 452/25, Karviná-Ráj 734 01</w:t>
      </w:r>
    </w:p>
    <w:p w:rsidR="007A1A90" w:rsidRPr="00850D37" w:rsidRDefault="007A1A90" w:rsidP="00960C99">
      <w:pPr>
        <w:pStyle w:val="Bezmezer"/>
        <w:ind w:left="284" w:hanging="284"/>
      </w:pPr>
      <w:r w:rsidRPr="00850D37">
        <w:tab/>
      </w:r>
      <w:r>
        <w:tab/>
      </w:r>
      <w:r>
        <w:tab/>
      </w:r>
      <w:r w:rsidR="00592D47">
        <w:t xml:space="preserve">         </w:t>
      </w:r>
      <w:r w:rsidRPr="00850D37">
        <w:t xml:space="preserve">IČ : </w:t>
      </w:r>
      <w:r>
        <w:t>623 11 832</w:t>
      </w:r>
      <w:r>
        <w:tab/>
      </w:r>
      <w:r>
        <w:tab/>
        <w:t>DIČ: CZ6403301047</w:t>
      </w:r>
    </w:p>
    <w:p w:rsidR="007A1A90" w:rsidRPr="00850D37" w:rsidRDefault="00592D47" w:rsidP="00592D47">
      <w:pPr>
        <w:pStyle w:val="Bezmezer"/>
        <w:ind w:left="1700"/>
      </w:pPr>
      <w:r>
        <w:t xml:space="preserve">   </w:t>
      </w:r>
      <w:r w:rsidR="007A1A90">
        <w:t xml:space="preserve">Číslo </w:t>
      </w:r>
      <w:r w:rsidR="007A1A90" w:rsidRPr="00850D37">
        <w:t>autorizace</w:t>
      </w:r>
      <w:r w:rsidR="007A1A90">
        <w:t xml:space="preserve"> ČKAIT</w:t>
      </w:r>
      <w:r w:rsidR="007A1A90" w:rsidRPr="00850D37">
        <w:t xml:space="preserve">: </w:t>
      </w:r>
      <w:r w:rsidR="007A1A90">
        <w:t>1101989; číslo osvědčení: 18</w:t>
      </w:r>
      <w:r>
        <w:t> </w:t>
      </w:r>
      <w:r w:rsidR="007A1A90">
        <w:t>430</w:t>
      </w:r>
    </w:p>
    <w:p w:rsidR="007A1A90" w:rsidRPr="00850D37" w:rsidRDefault="007A1A90" w:rsidP="00592D47">
      <w:pPr>
        <w:pStyle w:val="Bezmezer"/>
        <w:ind w:left="992" w:firstLine="424"/>
      </w:pPr>
      <w:r w:rsidRPr="00850D37">
        <w:t xml:space="preserve">Obor autorizace: </w:t>
      </w:r>
      <w:r>
        <w:t>technika prostředí staveb, specializace elektrotechnická zařízení</w:t>
      </w:r>
      <w:r w:rsidRPr="00850D37">
        <w:t xml:space="preserve"> </w:t>
      </w:r>
    </w:p>
    <w:p w:rsidR="000D6D69" w:rsidRPr="00E74DE3" w:rsidRDefault="000D6D69" w:rsidP="00960C99">
      <w:pPr>
        <w:spacing w:after="0"/>
        <w:ind w:left="284" w:hanging="284"/>
        <w:rPr>
          <w:highlight w:val="yellow"/>
        </w:rPr>
      </w:pPr>
    </w:p>
    <w:p w:rsidR="005E61F8" w:rsidRPr="009003EE" w:rsidRDefault="00E6438E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Úvod</w:t>
      </w:r>
      <w:r w:rsidR="005E61F8" w:rsidRPr="009003EE">
        <w:rPr>
          <w:b/>
          <w:i/>
          <w:sz w:val="24"/>
          <w:szCs w:val="24"/>
        </w:rPr>
        <w:t>.</w:t>
      </w:r>
    </w:p>
    <w:p w:rsidR="00E45E3C" w:rsidRDefault="00592D47" w:rsidP="00592D47">
      <w:pPr>
        <w:spacing w:after="0"/>
        <w:ind w:firstLine="284"/>
        <w:jc w:val="both"/>
        <w:rPr>
          <w:rFonts w:asciiTheme="minorHAnsi" w:hAnsiTheme="minorHAnsi" w:cs="Helvetica"/>
          <w:color w:val="000000"/>
          <w:lang w:eastAsia="cs-CZ"/>
        </w:rPr>
      </w:pPr>
      <w:r>
        <w:rPr>
          <w:rFonts w:asciiTheme="minorHAnsi" w:hAnsiTheme="minorHAnsi" w:cs="Helvetica"/>
          <w:color w:val="000000"/>
          <w:lang w:eastAsia="cs-CZ"/>
        </w:rPr>
        <w:t xml:space="preserve">Předmětem </w:t>
      </w:r>
      <w:r w:rsidR="0043103D">
        <w:rPr>
          <w:rFonts w:asciiTheme="minorHAnsi" w:hAnsiTheme="minorHAnsi" w:cs="Helvetica"/>
          <w:color w:val="000000"/>
          <w:lang w:eastAsia="cs-CZ"/>
        </w:rPr>
        <w:t xml:space="preserve">dodatku </w:t>
      </w:r>
      <w:r>
        <w:rPr>
          <w:rFonts w:asciiTheme="minorHAnsi" w:hAnsiTheme="minorHAnsi" w:cs="Helvetica"/>
          <w:color w:val="000000"/>
          <w:lang w:eastAsia="cs-CZ"/>
        </w:rPr>
        <w:t xml:space="preserve">projektové dokumentace </w:t>
      </w:r>
      <w:r w:rsidR="0043103D">
        <w:rPr>
          <w:rFonts w:asciiTheme="minorHAnsi" w:hAnsiTheme="minorHAnsi" w:cs="Helvetica"/>
          <w:color w:val="000000"/>
          <w:lang w:eastAsia="cs-CZ"/>
        </w:rPr>
        <w:t xml:space="preserve">je návrh obvodu postupného </w:t>
      </w:r>
      <w:r w:rsidR="0043103D" w:rsidRPr="0043103D">
        <w:rPr>
          <w:rFonts w:asciiTheme="minorHAnsi" w:hAnsiTheme="minorHAnsi" w:cs="Helvetica"/>
          <w:lang w:eastAsia="cs-CZ"/>
        </w:rPr>
        <w:t>spínání (</w:t>
      </w:r>
      <w:proofErr w:type="spellStart"/>
      <w:r w:rsidR="0043103D" w:rsidRPr="0043103D">
        <w:rPr>
          <w:rFonts w:cs="Calibri"/>
          <w:lang w:eastAsia="cs-CZ"/>
        </w:rPr>
        <w:t>inrush</w:t>
      </w:r>
      <w:proofErr w:type="spellEnd"/>
      <w:r w:rsidR="0043103D" w:rsidRPr="0043103D">
        <w:rPr>
          <w:rFonts w:cs="Calibri"/>
          <w:lang w:eastAsia="cs-CZ"/>
        </w:rPr>
        <w:t xml:space="preserve"> </w:t>
      </w:r>
      <w:proofErr w:type="spellStart"/>
      <w:r w:rsidR="0043103D" w:rsidRPr="0043103D">
        <w:rPr>
          <w:rFonts w:cs="Calibri"/>
          <w:lang w:eastAsia="cs-CZ"/>
        </w:rPr>
        <w:t>current</w:t>
      </w:r>
      <w:proofErr w:type="spellEnd"/>
      <w:r w:rsidR="0043103D" w:rsidRPr="0043103D">
        <w:rPr>
          <w:rFonts w:cs="Calibri"/>
          <w:lang w:eastAsia="cs-CZ"/>
        </w:rPr>
        <w:t xml:space="preserve">) </w:t>
      </w:r>
      <w:r w:rsidR="0043103D">
        <w:rPr>
          <w:rFonts w:asciiTheme="minorHAnsi" w:hAnsiTheme="minorHAnsi" w:cs="Helvetica"/>
          <w:color w:val="000000"/>
          <w:lang w:eastAsia="cs-CZ"/>
        </w:rPr>
        <w:t>zásuvkových vývodů určených k připojení technologie SLP zařízení dle dodatečného požadavku provozovatele</w:t>
      </w:r>
      <w:r w:rsidR="00DD367F">
        <w:rPr>
          <w:rFonts w:asciiTheme="minorHAnsi" w:hAnsiTheme="minorHAnsi" w:cs="Helvetica"/>
          <w:color w:val="000000"/>
          <w:lang w:eastAsia="cs-CZ"/>
        </w:rPr>
        <w:t>.</w:t>
      </w:r>
      <w:bookmarkStart w:id="0" w:name="_GoBack"/>
      <w:bookmarkEnd w:id="0"/>
    </w:p>
    <w:p w:rsidR="00E6438E" w:rsidRPr="00E6438E" w:rsidRDefault="00E6438E" w:rsidP="00E6438E">
      <w:pPr>
        <w:spacing w:after="0"/>
        <w:rPr>
          <w:rFonts w:asciiTheme="minorHAnsi" w:hAnsiTheme="minorHAnsi"/>
        </w:rPr>
      </w:pPr>
    </w:p>
    <w:p w:rsidR="005E61F8" w:rsidRPr="009003EE" w:rsidRDefault="005E61F8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Obsah projektu.</w:t>
      </w:r>
    </w:p>
    <w:p w:rsidR="002F1FAC" w:rsidRDefault="002F1FAC" w:rsidP="002F1FAC">
      <w:pPr>
        <w:numPr>
          <w:ilvl w:val="0"/>
          <w:numId w:val="21"/>
        </w:numPr>
        <w:spacing w:after="0"/>
        <w:ind w:left="284" w:hanging="284"/>
      </w:pPr>
      <w:r>
        <w:t>Technická zpráva.</w:t>
      </w:r>
    </w:p>
    <w:p w:rsidR="00DA3563" w:rsidRDefault="0043103D" w:rsidP="00960C99">
      <w:pPr>
        <w:numPr>
          <w:ilvl w:val="0"/>
          <w:numId w:val="21"/>
        </w:numPr>
        <w:spacing w:after="0"/>
        <w:ind w:left="284" w:hanging="284"/>
      </w:pPr>
      <w:r>
        <w:t>Úprava situačního výkresu původní dokumentace.</w:t>
      </w:r>
    </w:p>
    <w:p w:rsidR="0043103D" w:rsidRDefault="0043103D" w:rsidP="00960C99">
      <w:pPr>
        <w:numPr>
          <w:ilvl w:val="0"/>
          <w:numId w:val="21"/>
        </w:numPr>
        <w:spacing w:after="0"/>
        <w:ind w:left="284" w:hanging="284"/>
      </w:pPr>
      <w:r>
        <w:t>Návrh řešení ovládací skříně časovaného spínání.</w:t>
      </w:r>
    </w:p>
    <w:p w:rsidR="003B422C" w:rsidRDefault="003B422C" w:rsidP="00960C99">
      <w:pPr>
        <w:spacing w:after="0"/>
        <w:ind w:left="284" w:hanging="284"/>
      </w:pPr>
    </w:p>
    <w:p w:rsidR="003B422C" w:rsidRPr="009003EE" w:rsidRDefault="003B422C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Projekční podklady:</w:t>
      </w:r>
    </w:p>
    <w:p w:rsidR="00436D2B" w:rsidRDefault="0043103D" w:rsidP="00960C99">
      <w:pPr>
        <w:pStyle w:val="Odstavecseseznamem"/>
        <w:numPr>
          <w:ilvl w:val="0"/>
          <w:numId w:val="21"/>
        </w:numPr>
        <w:spacing w:after="0"/>
        <w:ind w:left="284" w:hanging="284"/>
      </w:pPr>
      <w:r>
        <w:t>Původní dokumentace.</w:t>
      </w:r>
    </w:p>
    <w:p w:rsidR="00DD367F" w:rsidRDefault="0043103D" w:rsidP="00960C99">
      <w:pPr>
        <w:pStyle w:val="Odstavecseseznamem"/>
        <w:numPr>
          <w:ilvl w:val="0"/>
          <w:numId w:val="21"/>
        </w:numPr>
        <w:spacing w:after="0"/>
        <w:ind w:left="284" w:hanging="284"/>
      </w:pPr>
      <w:r>
        <w:t>Požadavek provozovatele zařízení.</w:t>
      </w:r>
    </w:p>
    <w:p w:rsidR="003B422C" w:rsidRDefault="002F1FAC" w:rsidP="00960C99">
      <w:pPr>
        <w:pStyle w:val="Odstavecseseznamem"/>
        <w:numPr>
          <w:ilvl w:val="0"/>
          <w:numId w:val="21"/>
        </w:numPr>
        <w:spacing w:after="0"/>
        <w:ind w:left="284" w:hanging="284"/>
      </w:pPr>
      <w:r>
        <w:t xml:space="preserve">Platné předpisy (viz odstavec </w:t>
      </w:r>
      <w:proofErr w:type="gramStart"/>
      <w:r>
        <w:t>č.9).</w:t>
      </w:r>
      <w:proofErr w:type="gramEnd"/>
    </w:p>
    <w:p w:rsidR="0022552F" w:rsidRDefault="0022552F" w:rsidP="00960C99">
      <w:pPr>
        <w:spacing w:after="0"/>
        <w:ind w:left="284" w:hanging="284"/>
      </w:pPr>
    </w:p>
    <w:p w:rsidR="005E61F8" w:rsidRPr="009003EE" w:rsidRDefault="008C61F6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Technická data.</w:t>
      </w:r>
    </w:p>
    <w:p w:rsidR="007263A5" w:rsidRDefault="007263A5" w:rsidP="00DD367F">
      <w:pPr>
        <w:pStyle w:val="Bezmezer"/>
        <w:spacing w:line="276" w:lineRule="auto"/>
        <w:ind w:left="284" w:hanging="284"/>
      </w:pPr>
      <w:r w:rsidRPr="00205F53">
        <w:t xml:space="preserve">Napěťová soustava  </w:t>
      </w:r>
      <w:r w:rsidR="0043103D">
        <w:t>1</w:t>
      </w:r>
      <w:r w:rsidRPr="00205F53">
        <w:t>/N/PE</w:t>
      </w:r>
      <w:r w:rsidR="0043103D">
        <w:t>;</w:t>
      </w:r>
      <w:r w:rsidRPr="00205F53">
        <w:t xml:space="preserve"> 230V AC; 50 Hz;  TN-S</w:t>
      </w:r>
    </w:p>
    <w:p w:rsidR="00DD367F" w:rsidRDefault="00DD367F" w:rsidP="00DD367F">
      <w:pPr>
        <w:pStyle w:val="Bezmezer"/>
        <w:spacing w:line="276" w:lineRule="auto"/>
      </w:pPr>
    </w:p>
    <w:p w:rsidR="00DD367F" w:rsidRDefault="00017C00" w:rsidP="00DD367F">
      <w:pPr>
        <w:pStyle w:val="Bezmezer"/>
        <w:spacing w:line="276" w:lineRule="auto"/>
      </w:pPr>
      <w:r>
        <w:t xml:space="preserve">Max. </w:t>
      </w:r>
      <w:proofErr w:type="gramStart"/>
      <w:r>
        <w:t>p</w:t>
      </w:r>
      <w:r w:rsidR="0043103D">
        <w:t>říkon</w:t>
      </w:r>
      <w:r w:rsidR="00DD367F">
        <w:t>:  …</w:t>
      </w:r>
      <w:proofErr w:type="gramEnd"/>
      <w:r w:rsidR="00DD367F">
        <w:t xml:space="preserve"> </w:t>
      </w:r>
      <w:proofErr w:type="spellStart"/>
      <w:r w:rsidR="00DD367F" w:rsidRPr="00861AAA">
        <w:t>P</w:t>
      </w:r>
      <w:r w:rsidR="00DD367F">
        <w:t>i</w:t>
      </w:r>
      <w:proofErr w:type="spellEnd"/>
      <w:r w:rsidR="00DD367F" w:rsidRPr="00861AAA">
        <w:t xml:space="preserve"> = </w:t>
      </w:r>
      <w:r w:rsidR="0043103D">
        <w:t>3680VA</w:t>
      </w:r>
      <w:r w:rsidR="00DD367F">
        <w:t xml:space="preserve"> </w:t>
      </w:r>
    </w:p>
    <w:p w:rsidR="00DD367F" w:rsidRPr="00861AAA" w:rsidRDefault="00DD367F" w:rsidP="00DD367F">
      <w:pPr>
        <w:pStyle w:val="Bezmezer"/>
        <w:spacing w:line="276" w:lineRule="auto"/>
      </w:pPr>
      <w:r>
        <w:t>Předpokládaná s</w:t>
      </w:r>
      <w:r w:rsidRPr="00861AAA">
        <w:t>oudobost</w:t>
      </w:r>
      <w:r>
        <w:t xml:space="preserve">: </w:t>
      </w:r>
      <w:r w:rsidRPr="00861AAA">
        <w:t xml:space="preserve"> β  = </w:t>
      </w:r>
      <w:r w:rsidR="0043103D">
        <w:t>0,3</w:t>
      </w:r>
      <w:r w:rsidRPr="00861AAA">
        <w:t xml:space="preserve">   </w:t>
      </w:r>
    </w:p>
    <w:p w:rsidR="00DD367F" w:rsidRDefault="00DD367F" w:rsidP="00DD367F">
      <w:pPr>
        <w:pStyle w:val="Bezmezer"/>
        <w:spacing w:line="276" w:lineRule="auto"/>
      </w:pPr>
    </w:p>
    <w:p w:rsidR="007263A5" w:rsidRPr="00205F53" w:rsidRDefault="007263A5" w:rsidP="00960C99">
      <w:pPr>
        <w:spacing w:after="40" w:line="240" w:lineRule="atLeast"/>
        <w:ind w:left="284" w:hanging="284"/>
        <w:jc w:val="both"/>
        <w:rPr>
          <w:rFonts w:cs="Arial"/>
          <w:b/>
          <w:i/>
        </w:rPr>
      </w:pPr>
      <w:r w:rsidRPr="00205F53">
        <w:rPr>
          <w:rFonts w:cs="Arial"/>
          <w:b/>
          <w:i/>
        </w:rPr>
        <w:t>Ochranná opatření před úrazem elektrickým proudem dle ČSN 33 2000-4-41 ed.</w:t>
      </w:r>
      <w:r w:rsidR="00452B8B">
        <w:rPr>
          <w:rFonts w:cs="Arial"/>
          <w:b/>
          <w:i/>
        </w:rPr>
        <w:t>3</w:t>
      </w:r>
      <w:r w:rsidRPr="00205F53">
        <w:rPr>
          <w:rFonts w:cs="Arial"/>
          <w:b/>
          <w:i/>
        </w:rPr>
        <w:t>.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 Základní ochrana :     </w:t>
      </w:r>
      <w:r w:rsidRPr="00205F53">
        <w:tab/>
        <w:t>- základní izolace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                       </w:t>
      </w:r>
      <w:r w:rsidR="007401BB" w:rsidRPr="00205F53">
        <w:tab/>
      </w:r>
      <w:r w:rsidRPr="00205F53">
        <w:tab/>
        <w:t>- kryty a přepážky</w:t>
      </w:r>
    </w:p>
    <w:p w:rsidR="007263A5" w:rsidRPr="00205F53" w:rsidRDefault="007263A5" w:rsidP="00960C99">
      <w:pPr>
        <w:pStyle w:val="Bezmezer"/>
        <w:ind w:left="284" w:hanging="284"/>
      </w:pP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Ochrana při poruše (před dotykem neživých částí):    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ab/>
      </w:r>
      <w:r w:rsidRPr="00205F53">
        <w:tab/>
      </w:r>
      <w:r w:rsidRPr="00205F53">
        <w:tab/>
      </w:r>
      <w:proofErr w:type="gramStart"/>
      <w:r w:rsidRPr="00205F53">
        <w:t>-  automatickým</w:t>
      </w:r>
      <w:proofErr w:type="gramEnd"/>
      <w:r w:rsidRPr="00205F53">
        <w:t xml:space="preserve"> odpojením od zdroje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ab/>
      </w:r>
      <w:r w:rsidRPr="00205F53">
        <w:tab/>
      </w:r>
      <w:r w:rsidRPr="00205F53">
        <w:tab/>
      </w:r>
      <w:proofErr w:type="gramStart"/>
      <w:r w:rsidRPr="00205F53">
        <w:t>-  ochranné</w:t>
      </w:r>
      <w:proofErr w:type="gramEnd"/>
      <w:r w:rsidRPr="00205F53">
        <w:t xml:space="preserve"> uzemnění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ab/>
      </w:r>
      <w:r w:rsidRPr="00205F53">
        <w:tab/>
      </w:r>
      <w:r w:rsidRPr="00205F53">
        <w:tab/>
      </w:r>
      <w:proofErr w:type="gramStart"/>
      <w:r w:rsidRPr="00205F53">
        <w:t>-  ochranným</w:t>
      </w:r>
      <w:proofErr w:type="gramEnd"/>
      <w:r w:rsidRPr="00205F53">
        <w:t xml:space="preserve"> pospojováním</w:t>
      </w:r>
    </w:p>
    <w:p w:rsidR="00E945B6" w:rsidRDefault="00E945B6" w:rsidP="00960C99">
      <w:pPr>
        <w:pStyle w:val="Bezmezer"/>
        <w:ind w:left="284" w:hanging="284"/>
      </w:pP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Doplňková ochrana :    -  proudovým chráničem s Ir = </w:t>
      </w:r>
      <w:r w:rsidR="0070327B">
        <w:t xml:space="preserve">30mA  </w:t>
      </w:r>
    </w:p>
    <w:p w:rsidR="007A1A90" w:rsidRPr="00205F53" w:rsidRDefault="007A1A90" w:rsidP="00960C99">
      <w:pPr>
        <w:pStyle w:val="Holub-n"/>
        <w:spacing w:line="276" w:lineRule="auto"/>
        <w:ind w:left="284" w:hanging="284"/>
        <w:jc w:val="both"/>
        <w:rPr>
          <w:rFonts w:ascii="Calibri" w:hAnsi="Calibri"/>
          <w:b/>
          <w:szCs w:val="22"/>
        </w:rPr>
      </w:pPr>
    </w:p>
    <w:p w:rsidR="007263A5" w:rsidRPr="00205F53" w:rsidRDefault="007401BB" w:rsidP="00017C00">
      <w:pPr>
        <w:pStyle w:val="Holub-n"/>
        <w:spacing w:line="276" w:lineRule="auto"/>
        <w:ind w:firstLine="284"/>
        <w:jc w:val="both"/>
        <w:rPr>
          <w:rFonts w:ascii="Calibri" w:hAnsi="Calibri"/>
          <w:szCs w:val="22"/>
        </w:rPr>
      </w:pPr>
      <w:r w:rsidRPr="00205F53">
        <w:rPr>
          <w:rFonts w:ascii="Calibri" w:hAnsi="Calibri"/>
          <w:b/>
          <w:szCs w:val="22"/>
        </w:rPr>
        <w:t>V</w:t>
      </w:r>
      <w:r w:rsidR="007263A5" w:rsidRPr="00205F53">
        <w:rPr>
          <w:rFonts w:ascii="Calibri" w:hAnsi="Calibri"/>
          <w:b/>
          <w:szCs w:val="22"/>
        </w:rPr>
        <w:t>nější vliv</w:t>
      </w:r>
      <w:r w:rsidRPr="00205F53">
        <w:rPr>
          <w:rFonts w:ascii="Calibri" w:hAnsi="Calibri"/>
          <w:b/>
          <w:szCs w:val="22"/>
        </w:rPr>
        <w:t>y</w:t>
      </w:r>
      <w:r w:rsidR="007263A5" w:rsidRPr="00205F53">
        <w:rPr>
          <w:rFonts w:ascii="Calibri" w:hAnsi="Calibri"/>
          <w:szCs w:val="22"/>
        </w:rPr>
        <w:t xml:space="preserve"> ve smyslu ČSN 33 2000-5-51 ed.3 </w:t>
      </w:r>
      <w:r w:rsidR="005803C5">
        <w:rPr>
          <w:rFonts w:ascii="Calibri" w:hAnsi="Calibri"/>
          <w:szCs w:val="22"/>
        </w:rPr>
        <w:t>jsou specifikovány v Proto</w:t>
      </w:r>
      <w:r w:rsidR="00017C00">
        <w:rPr>
          <w:rFonts w:ascii="Calibri" w:hAnsi="Calibri"/>
          <w:szCs w:val="22"/>
        </w:rPr>
        <w:t xml:space="preserve">kolu o určení vnějších vlivů č. </w:t>
      </w:r>
      <w:r w:rsidR="005803C5">
        <w:rPr>
          <w:rFonts w:ascii="Calibri" w:hAnsi="Calibri"/>
          <w:szCs w:val="22"/>
        </w:rPr>
        <w:t>201</w:t>
      </w:r>
      <w:r w:rsidR="009C6A51">
        <w:rPr>
          <w:rFonts w:ascii="Calibri" w:hAnsi="Calibri"/>
          <w:szCs w:val="22"/>
        </w:rPr>
        <w:t>8</w:t>
      </w:r>
      <w:r w:rsidR="005803C5">
        <w:rPr>
          <w:rFonts w:ascii="Calibri" w:hAnsi="Calibri"/>
          <w:szCs w:val="22"/>
        </w:rPr>
        <w:t>VV</w:t>
      </w:r>
      <w:r w:rsidR="00017C00">
        <w:rPr>
          <w:rFonts w:ascii="Calibri" w:hAnsi="Calibri"/>
          <w:szCs w:val="22"/>
        </w:rPr>
        <w:t>59</w:t>
      </w:r>
      <w:r w:rsidR="005803C5">
        <w:rPr>
          <w:rFonts w:ascii="Calibri" w:hAnsi="Calibri"/>
          <w:szCs w:val="22"/>
        </w:rPr>
        <w:t xml:space="preserve">, který je </w:t>
      </w:r>
      <w:r w:rsidR="00B64184">
        <w:rPr>
          <w:rFonts w:ascii="Calibri" w:hAnsi="Calibri"/>
          <w:szCs w:val="22"/>
        </w:rPr>
        <w:t>přílohou</w:t>
      </w:r>
      <w:r w:rsidR="005803C5">
        <w:rPr>
          <w:rFonts w:ascii="Calibri" w:hAnsi="Calibri"/>
          <w:szCs w:val="22"/>
        </w:rPr>
        <w:t xml:space="preserve"> projektové dokumentace</w:t>
      </w:r>
      <w:r w:rsidR="0043103D">
        <w:rPr>
          <w:rFonts w:ascii="Calibri" w:hAnsi="Calibri"/>
          <w:szCs w:val="22"/>
        </w:rPr>
        <w:t xml:space="preserve"> 59K2019</w:t>
      </w:r>
      <w:r w:rsidR="005803C5">
        <w:rPr>
          <w:rFonts w:ascii="Calibri" w:hAnsi="Calibri"/>
          <w:szCs w:val="22"/>
        </w:rPr>
        <w:t>.</w:t>
      </w:r>
      <w:r w:rsidR="00017C00">
        <w:rPr>
          <w:rFonts w:ascii="Calibri" w:hAnsi="Calibri"/>
          <w:szCs w:val="22"/>
        </w:rPr>
        <w:t xml:space="preserve"> </w:t>
      </w:r>
    </w:p>
    <w:p w:rsidR="007A1A90" w:rsidRPr="00205F53" w:rsidRDefault="007A1A90" w:rsidP="00960C99">
      <w:pPr>
        <w:pStyle w:val="Holub-n"/>
        <w:spacing w:line="276" w:lineRule="auto"/>
        <w:ind w:left="284" w:hanging="284"/>
        <w:jc w:val="both"/>
        <w:rPr>
          <w:rFonts w:ascii="Calibri" w:hAnsi="Calibri"/>
          <w:szCs w:val="22"/>
        </w:rPr>
      </w:pPr>
    </w:p>
    <w:p w:rsidR="009C6A51" w:rsidRPr="009C6A51" w:rsidRDefault="009C6A51" w:rsidP="00960C99">
      <w:pPr>
        <w:pStyle w:val="Bezmezer"/>
        <w:spacing w:line="276" w:lineRule="auto"/>
        <w:ind w:left="284" w:hanging="284"/>
        <w:rPr>
          <w:b/>
        </w:rPr>
      </w:pPr>
      <w:r w:rsidRPr="009C6A51">
        <w:rPr>
          <w:b/>
        </w:rPr>
        <w:lastRenderedPageBreak/>
        <w:t>M</w:t>
      </w:r>
      <w:r w:rsidRPr="009C6A51">
        <w:rPr>
          <w:rFonts w:cs="Arial,Bold"/>
          <w:b/>
        </w:rPr>
        <w:t>ěř</w:t>
      </w:r>
      <w:r w:rsidRPr="009C6A51">
        <w:rPr>
          <w:b/>
        </w:rPr>
        <w:t>ení spotřeby elektrické energie</w:t>
      </w:r>
      <w:r w:rsidRPr="009C6A51">
        <w:rPr>
          <w:b/>
        </w:rPr>
        <w:tab/>
        <w:t xml:space="preserve"> </w:t>
      </w:r>
    </w:p>
    <w:p w:rsidR="009C6A51" w:rsidRPr="009C6A51" w:rsidRDefault="0043103D" w:rsidP="001A3659">
      <w:pPr>
        <w:pStyle w:val="Bezmezer"/>
        <w:spacing w:line="276" w:lineRule="auto"/>
        <w:ind w:firstLine="284"/>
        <w:jc w:val="both"/>
      </w:pPr>
      <w:r>
        <w:t>Řešená část</w:t>
      </w:r>
      <w:r w:rsidR="00017C00">
        <w:t xml:space="preserve"> elektroinstalace bude připojena ke stávajícímu rozvaděči RS3, který je součástí měřených obvodů objektu.</w:t>
      </w:r>
    </w:p>
    <w:p w:rsidR="00E6438E" w:rsidRDefault="00E6438E" w:rsidP="00960C99">
      <w:pPr>
        <w:pStyle w:val="Bezmezer"/>
        <w:spacing w:line="276" w:lineRule="auto"/>
        <w:ind w:left="284" w:hanging="284"/>
        <w:rPr>
          <w:b/>
        </w:rPr>
      </w:pPr>
    </w:p>
    <w:p w:rsidR="007263A5" w:rsidRPr="00205F53" w:rsidRDefault="007263A5" w:rsidP="00960C99">
      <w:pPr>
        <w:pStyle w:val="Bezmezer"/>
        <w:spacing w:line="276" w:lineRule="auto"/>
        <w:ind w:left="284" w:hanging="284"/>
        <w:rPr>
          <w:b/>
        </w:rPr>
      </w:pPr>
      <w:r w:rsidRPr="00205F53">
        <w:rPr>
          <w:b/>
        </w:rPr>
        <w:t xml:space="preserve">Zajištění dodávky el. </w:t>
      </w:r>
      <w:proofErr w:type="gramStart"/>
      <w:r w:rsidRPr="00205F53">
        <w:rPr>
          <w:b/>
        </w:rPr>
        <w:t>energie</w:t>
      </w:r>
      <w:proofErr w:type="gramEnd"/>
      <w:r w:rsidR="007401BB" w:rsidRPr="00205F53">
        <w:rPr>
          <w:b/>
        </w:rPr>
        <w:t>:</w:t>
      </w:r>
    </w:p>
    <w:p w:rsidR="007263A5" w:rsidRPr="00205F53" w:rsidRDefault="007263A5" w:rsidP="00960C99">
      <w:pPr>
        <w:pStyle w:val="Bezmezer"/>
        <w:spacing w:line="276" w:lineRule="auto"/>
        <w:ind w:left="284" w:hanging="284"/>
      </w:pPr>
      <w:r w:rsidRPr="00205F53">
        <w:t xml:space="preserve">Napájení budovy odpovídá 3. stupni důležitosti dodávky el. </w:t>
      </w:r>
      <w:proofErr w:type="gramStart"/>
      <w:r w:rsidRPr="00205F53">
        <w:t>energie</w:t>
      </w:r>
      <w:proofErr w:type="gramEnd"/>
      <w:r w:rsidRPr="00205F53">
        <w:t xml:space="preserve"> dle ČSN 34 1610.</w:t>
      </w:r>
    </w:p>
    <w:p w:rsidR="009C6A51" w:rsidRDefault="009C6A51" w:rsidP="00960C99">
      <w:pPr>
        <w:autoSpaceDE w:val="0"/>
        <w:autoSpaceDN w:val="0"/>
        <w:adjustRightInd w:val="0"/>
        <w:ind w:left="284" w:hanging="284"/>
        <w:rPr>
          <w:rFonts w:cs="Arial"/>
          <w:b/>
        </w:rPr>
      </w:pPr>
    </w:p>
    <w:p w:rsidR="00B55873" w:rsidRPr="009003EE" w:rsidRDefault="0035442B" w:rsidP="00960C99">
      <w:pPr>
        <w:pStyle w:val="Odstavecseseznamem"/>
        <w:numPr>
          <w:ilvl w:val="0"/>
          <w:numId w:val="3"/>
        </w:numPr>
        <w:spacing w:after="0" w:line="360" w:lineRule="auto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Popis zařízení</w:t>
      </w:r>
    </w:p>
    <w:p w:rsidR="00857813" w:rsidRDefault="008F0357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Řešený zásuvkový obvod XC1 </w:t>
      </w:r>
      <w:r w:rsidR="00921744">
        <w:rPr>
          <w:rFonts w:asciiTheme="minorHAnsi" w:hAnsiTheme="minorHAnsi" w:cs="Arial"/>
          <w:bCs/>
        </w:rPr>
        <w:t>bude</w:t>
      </w:r>
      <w:r>
        <w:rPr>
          <w:rFonts w:asciiTheme="minorHAnsi" w:hAnsiTheme="minorHAnsi" w:cs="Arial"/>
          <w:bCs/>
        </w:rPr>
        <w:t xml:space="preserve"> dle dokumentace 59K2019 jištěn v původním rozvaděči RS3 proudovým chráničem s nadproudovou ochranou 16B-1N-030 (10kA).</w:t>
      </w:r>
    </w:p>
    <w:p w:rsidR="00EA0F9E" w:rsidRDefault="00EA0F9E" w:rsidP="00EA0F9E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Původně navržený zásuvkový obvod bude nově rozdělen do tří samostatně spínaných větví, a to tak, aby zásuvky XC1.1 a XC1.2 byly spínány společně, následně bude s malým zpožděním zapnuta zásuvka XC1.3 a nakonec XC1.4.</w:t>
      </w:r>
    </w:p>
    <w:p w:rsidR="008F0357" w:rsidRDefault="008F0357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Před zásuvkové vývody obvodu XC1 bude</w:t>
      </w:r>
      <w:r w:rsidR="00EA0F9E">
        <w:rPr>
          <w:rFonts w:asciiTheme="minorHAnsi" w:hAnsiTheme="minorHAnsi" w:cs="Arial"/>
          <w:bCs/>
        </w:rPr>
        <w:t xml:space="preserve"> proto</w:t>
      </w:r>
      <w:r>
        <w:rPr>
          <w:rFonts w:asciiTheme="minorHAnsi" w:hAnsiTheme="minorHAnsi" w:cs="Arial"/>
          <w:bCs/>
        </w:rPr>
        <w:t xml:space="preserve"> zařazena spínací skříňka MS1, jejíž zapojení je uvedeno na výkrese </w:t>
      </w:r>
      <w:proofErr w:type="gramStart"/>
      <w:r>
        <w:rPr>
          <w:rFonts w:asciiTheme="minorHAnsi" w:hAnsiTheme="minorHAnsi" w:cs="Arial"/>
          <w:bCs/>
        </w:rPr>
        <w:t>č.4, který</w:t>
      </w:r>
      <w:proofErr w:type="gramEnd"/>
      <w:r>
        <w:rPr>
          <w:rFonts w:asciiTheme="minorHAnsi" w:hAnsiTheme="minorHAnsi" w:cs="Arial"/>
          <w:bCs/>
        </w:rPr>
        <w:t xml:space="preserve"> </w:t>
      </w:r>
      <w:r w:rsidR="004F38A7">
        <w:rPr>
          <w:rFonts w:asciiTheme="minorHAnsi" w:hAnsiTheme="minorHAnsi" w:cs="Arial"/>
          <w:bCs/>
        </w:rPr>
        <w:t>spolu s touto technickou zprávou tvoří dodatek</w:t>
      </w:r>
      <w:r>
        <w:rPr>
          <w:rFonts w:asciiTheme="minorHAnsi" w:hAnsiTheme="minorHAnsi" w:cs="Arial"/>
          <w:bCs/>
        </w:rPr>
        <w:t xml:space="preserve"> původní dokumentace 59K2018. </w:t>
      </w:r>
      <w:r w:rsidR="00EA0F9E">
        <w:rPr>
          <w:rFonts w:asciiTheme="minorHAnsi" w:hAnsiTheme="minorHAnsi" w:cs="Arial"/>
          <w:bCs/>
        </w:rPr>
        <w:t xml:space="preserve">Situační výkres </w:t>
      </w:r>
      <w:proofErr w:type="gramStart"/>
      <w:r w:rsidR="00EA0F9E">
        <w:rPr>
          <w:rFonts w:asciiTheme="minorHAnsi" w:hAnsiTheme="minorHAnsi" w:cs="Arial"/>
          <w:bCs/>
        </w:rPr>
        <w:t>č.1 bude</w:t>
      </w:r>
      <w:proofErr w:type="gramEnd"/>
      <w:r w:rsidR="00EA0F9E">
        <w:rPr>
          <w:rFonts w:asciiTheme="minorHAnsi" w:hAnsiTheme="minorHAnsi" w:cs="Arial"/>
          <w:bCs/>
        </w:rPr>
        <w:t xml:space="preserve"> v dokumentaci č.59K2018 nahrazen za změnový výkres s označením </w:t>
      </w:r>
      <w:r w:rsidR="00B14A96">
        <w:rPr>
          <w:rFonts w:asciiTheme="minorHAnsi" w:hAnsiTheme="minorHAnsi" w:cs="Arial"/>
          <w:bCs/>
        </w:rPr>
        <w:t>č.</w:t>
      </w:r>
      <w:r w:rsidR="004F38A7">
        <w:rPr>
          <w:rFonts w:asciiTheme="minorHAnsi" w:hAnsiTheme="minorHAnsi" w:cs="Arial"/>
          <w:bCs/>
        </w:rPr>
        <w:t xml:space="preserve"> </w:t>
      </w:r>
      <w:r w:rsidR="00B14A96">
        <w:rPr>
          <w:rFonts w:asciiTheme="minorHAnsi" w:hAnsiTheme="minorHAnsi" w:cs="Arial"/>
          <w:bCs/>
        </w:rPr>
        <w:t>1/Z</w:t>
      </w:r>
      <w:r w:rsidR="00EA0F9E">
        <w:rPr>
          <w:rFonts w:asciiTheme="minorHAnsi" w:hAnsiTheme="minorHAnsi" w:cs="Arial"/>
          <w:bCs/>
        </w:rPr>
        <w:t>1.</w:t>
      </w:r>
    </w:p>
    <w:p w:rsidR="008F0357" w:rsidRDefault="008F0357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Na přívodu MS1 je zapojen páčkový spínač SA1, který </w:t>
      </w:r>
      <w:r w:rsidR="00EA0F9E">
        <w:rPr>
          <w:rFonts w:asciiTheme="minorHAnsi" w:hAnsiTheme="minorHAnsi" w:cs="Arial"/>
          <w:bCs/>
        </w:rPr>
        <w:t xml:space="preserve">ihned </w:t>
      </w:r>
      <w:r>
        <w:rPr>
          <w:rFonts w:asciiTheme="minorHAnsi" w:hAnsiTheme="minorHAnsi" w:cs="Arial"/>
          <w:bCs/>
        </w:rPr>
        <w:t xml:space="preserve">po zapnutí </w:t>
      </w:r>
      <w:r w:rsidR="00EA0F9E">
        <w:rPr>
          <w:rFonts w:asciiTheme="minorHAnsi" w:hAnsiTheme="minorHAnsi" w:cs="Arial"/>
          <w:bCs/>
        </w:rPr>
        <w:t xml:space="preserve">SA1 </w:t>
      </w:r>
      <w:r>
        <w:rPr>
          <w:rFonts w:asciiTheme="minorHAnsi" w:hAnsiTheme="minorHAnsi" w:cs="Arial"/>
          <w:bCs/>
        </w:rPr>
        <w:t>připojí zásuvkové vývody XC1.1 a XC1.2</w:t>
      </w:r>
      <w:r w:rsidR="00EA0F9E">
        <w:rPr>
          <w:rFonts w:asciiTheme="minorHAnsi" w:hAnsiTheme="minorHAnsi" w:cs="Arial"/>
          <w:bCs/>
        </w:rPr>
        <w:t xml:space="preserve"> pod napětí</w:t>
      </w:r>
      <w:r>
        <w:rPr>
          <w:rFonts w:asciiTheme="minorHAnsi" w:hAnsiTheme="minorHAnsi" w:cs="Arial"/>
          <w:bCs/>
        </w:rPr>
        <w:t xml:space="preserve">. Po zapnutí spínače SA1 </w:t>
      </w:r>
      <w:r w:rsidR="00921744">
        <w:rPr>
          <w:rFonts w:asciiTheme="minorHAnsi" w:hAnsiTheme="minorHAnsi" w:cs="Arial"/>
          <w:bCs/>
        </w:rPr>
        <w:t xml:space="preserve">rovněž </w:t>
      </w:r>
      <w:r>
        <w:rPr>
          <w:rFonts w:asciiTheme="minorHAnsi" w:hAnsiTheme="minorHAnsi" w:cs="Arial"/>
          <w:bCs/>
        </w:rPr>
        <w:t xml:space="preserve">dojde přivedením napájení </w:t>
      </w:r>
      <w:r w:rsidR="00921744">
        <w:rPr>
          <w:rFonts w:asciiTheme="minorHAnsi" w:hAnsiTheme="minorHAnsi" w:cs="Arial"/>
          <w:bCs/>
        </w:rPr>
        <w:t>k</w:t>
      </w:r>
      <w:r>
        <w:rPr>
          <w:rFonts w:asciiTheme="minorHAnsi" w:hAnsiTheme="minorHAnsi" w:cs="Arial"/>
          <w:bCs/>
        </w:rPr>
        <w:t xml:space="preserve"> relé KA1 a KA2</w:t>
      </w:r>
      <w:r w:rsidR="00921744">
        <w:rPr>
          <w:rFonts w:asciiTheme="minorHAnsi" w:hAnsiTheme="minorHAnsi" w:cs="Arial"/>
          <w:bCs/>
        </w:rPr>
        <w:t xml:space="preserve"> k </w:t>
      </w:r>
      <w:r w:rsidR="003E0471">
        <w:rPr>
          <w:rFonts w:asciiTheme="minorHAnsi" w:hAnsiTheme="minorHAnsi" w:cs="Arial"/>
          <w:bCs/>
        </w:rPr>
        <w:t>počátku</w:t>
      </w:r>
      <w:r w:rsidR="00921744">
        <w:rPr>
          <w:rFonts w:asciiTheme="minorHAnsi" w:hAnsiTheme="minorHAnsi" w:cs="Arial"/>
          <w:bCs/>
        </w:rPr>
        <w:t xml:space="preserve"> časování. Relé KA1 bude nastaveno na 2 sekundy, relé KA2 bude nastaveno na 4 sekundy. Tímto způsobem dojde k časovému posunu zapnutí všech tří zásuvkových vývodů dle požadavků provozovatele. </w:t>
      </w:r>
      <w:r w:rsidR="00FB56AC">
        <w:rPr>
          <w:rFonts w:asciiTheme="minorHAnsi" w:hAnsiTheme="minorHAnsi" w:cs="Arial"/>
          <w:bCs/>
        </w:rPr>
        <w:t xml:space="preserve">Po vypnutí spínače SA1 budou obvody vypnuty společně a pak znovu připraveny k časovanému postupnému sepnutí opětným zapnutím spínače SA1. kontakt „S“ na časových relé tak nemusí být využíván, jelikož po přivedení napájecího napětí k časovým relé tyto vždy </w:t>
      </w:r>
      <w:r w:rsidR="003E0471">
        <w:rPr>
          <w:rFonts w:asciiTheme="minorHAnsi" w:hAnsiTheme="minorHAnsi" w:cs="Arial"/>
          <w:bCs/>
        </w:rPr>
        <w:t>začnou časovat s</w:t>
      </w:r>
      <w:r w:rsidR="008D7664">
        <w:rPr>
          <w:rFonts w:asciiTheme="minorHAnsi" w:hAnsiTheme="minorHAnsi" w:cs="Arial"/>
          <w:bCs/>
        </w:rPr>
        <w:t> </w:t>
      </w:r>
      <w:r w:rsidR="003E0471">
        <w:rPr>
          <w:rFonts w:asciiTheme="minorHAnsi" w:hAnsiTheme="minorHAnsi" w:cs="Arial"/>
          <w:bCs/>
        </w:rPr>
        <w:t>nastaveným</w:t>
      </w:r>
      <w:r w:rsidR="008D7664">
        <w:rPr>
          <w:rFonts w:asciiTheme="minorHAnsi" w:hAnsiTheme="minorHAnsi" w:cs="Arial"/>
          <w:bCs/>
        </w:rPr>
        <w:t xml:space="preserve"> zpožděním</w:t>
      </w:r>
      <w:r w:rsidR="00FB56AC">
        <w:rPr>
          <w:rFonts w:asciiTheme="minorHAnsi" w:hAnsiTheme="minorHAnsi" w:cs="Arial"/>
          <w:bCs/>
        </w:rPr>
        <w:t xml:space="preserve"> </w:t>
      </w:r>
      <w:r w:rsidR="00FB56AC">
        <w:rPr>
          <w:rStyle w:val="Znakapoznpodarou"/>
          <w:rFonts w:asciiTheme="minorHAnsi" w:hAnsiTheme="minorHAnsi" w:cs="Arial"/>
          <w:bCs/>
        </w:rPr>
        <w:footnoteReference w:id="1"/>
      </w:r>
      <w:r w:rsidR="00FB56AC">
        <w:rPr>
          <w:rFonts w:asciiTheme="minorHAnsi" w:hAnsiTheme="minorHAnsi" w:cs="Arial"/>
          <w:bCs/>
        </w:rPr>
        <w:t>.</w:t>
      </w:r>
    </w:p>
    <w:p w:rsidR="00921744" w:rsidRDefault="00921744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Pro zapojení jsou navržena </w:t>
      </w:r>
      <w:r w:rsidR="003E0471">
        <w:rPr>
          <w:rFonts w:asciiTheme="minorHAnsi" w:hAnsiTheme="minorHAnsi" w:cs="Arial"/>
          <w:bCs/>
        </w:rPr>
        <w:t>multifunkční</w:t>
      </w:r>
      <w:r>
        <w:rPr>
          <w:rFonts w:asciiTheme="minorHAnsi" w:hAnsiTheme="minorHAnsi" w:cs="Arial"/>
          <w:bCs/>
        </w:rPr>
        <w:t xml:space="preserve"> časová relé CRM-</w:t>
      </w:r>
      <w:r w:rsidR="003E0471">
        <w:rPr>
          <w:rFonts w:asciiTheme="minorHAnsi" w:hAnsiTheme="minorHAnsi" w:cs="Arial"/>
          <w:bCs/>
        </w:rPr>
        <w:t>9</w:t>
      </w:r>
      <w:r>
        <w:rPr>
          <w:rFonts w:asciiTheme="minorHAnsi" w:hAnsiTheme="minorHAnsi" w:cs="Arial"/>
          <w:bCs/>
        </w:rPr>
        <w:t>1</w:t>
      </w:r>
      <w:r w:rsidR="003E0471">
        <w:rPr>
          <w:rFonts w:asciiTheme="minorHAnsi" w:hAnsiTheme="minorHAnsi" w:cs="Arial"/>
          <w:bCs/>
        </w:rPr>
        <w:t>H</w:t>
      </w:r>
      <w:r>
        <w:rPr>
          <w:rFonts w:asciiTheme="minorHAnsi" w:hAnsiTheme="minorHAnsi" w:cs="Arial"/>
          <w:bCs/>
        </w:rPr>
        <w:t xml:space="preserve"> s</w:t>
      </w:r>
      <w:r w:rsidR="003E0471">
        <w:rPr>
          <w:rFonts w:asciiTheme="minorHAnsi" w:hAnsiTheme="minorHAnsi" w:cs="Arial"/>
          <w:bCs/>
        </w:rPr>
        <w:t xml:space="preserve"> nastavením</w:t>
      </w:r>
      <w:r>
        <w:rPr>
          <w:rFonts w:asciiTheme="minorHAnsi" w:hAnsiTheme="minorHAnsi" w:cs="Arial"/>
          <w:bCs/>
        </w:rPr>
        <w:t xml:space="preserve"> zpožděn</w:t>
      </w:r>
      <w:r w:rsidR="003E0471">
        <w:rPr>
          <w:rFonts w:asciiTheme="minorHAnsi" w:hAnsiTheme="minorHAnsi" w:cs="Arial"/>
          <w:bCs/>
        </w:rPr>
        <w:t>ého</w:t>
      </w:r>
      <w:r>
        <w:rPr>
          <w:rFonts w:asciiTheme="minorHAnsi" w:hAnsiTheme="minorHAnsi" w:cs="Arial"/>
          <w:bCs/>
        </w:rPr>
        <w:t xml:space="preserve"> rozběh</w:t>
      </w:r>
      <w:r w:rsidR="003E0471">
        <w:rPr>
          <w:rFonts w:asciiTheme="minorHAnsi" w:hAnsiTheme="minorHAnsi" w:cs="Arial"/>
          <w:bCs/>
        </w:rPr>
        <w:t>u</w:t>
      </w:r>
      <w:r w:rsidR="008D7664">
        <w:rPr>
          <w:rFonts w:asciiTheme="minorHAnsi" w:hAnsiTheme="minorHAnsi" w:cs="Arial"/>
          <w:bCs/>
        </w:rPr>
        <w:t xml:space="preserve"> po přivedení napájecího napětí</w:t>
      </w:r>
      <w:r w:rsidR="003E0471">
        <w:rPr>
          <w:rFonts w:asciiTheme="minorHAnsi" w:hAnsiTheme="minorHAnsi" w:cs="Arial"/>
          <w:bCs/>
        </w:rPr>
        <w:t xml:space="preserve"> (funkce „a“).</w:t>
      </w:r>
      <w:r>
        <w:rPr>
          <w:rFonts w:asciiTheme="minorHAnsi" w:hAnsiTheme="minorHAnsi" w:cs="Arial"/>
          <w:bCs/>
        </w:rPr>
        <w:t xml:space="preserve"> </w:t>
      </w:r>
      <w:r w:rsidR="003E0471">
        <w:rPr>
          <w:rFonts w:asciiTheme="minorHAnsi" w:hAnsiTheme="minorHAnsi" w:cs="Arial"/>
          <w:bCs/>
        </w:rPr>
        <w:t xml:space="preserve">Relé je zvoleno z důvodu </w:t>
      </w:r>
      <w:r w:rsidR="008D7664">
        <w:rPr>
          <w:rFonts w:asciiTheme="minorHAnsi" w:hAnsiTheme="minorHAnsi" w:cs="Arial"/>
          <w:bCs/>
        </w:rPr>
        <w:t>j</w:t>
      </w:r>
      <w:r>
        <w:rPr>
          <w:rFonts w:asciiTheme="minorHAnsi" w:hAnsiTheme="minorHAnsi" w:cs="Arial"/>
          <w:bCs/>
        </w:rPr>
        <w:t>menovit</w:t>
      </w:r>
      <w:r w:rsidR="003E0471">
        <w:rPr>
          <w:rFonts w:asciiTheme="minorHAnsi" w:hAnsiTheme="minorHAnsi" w:cs="Arial"/>
          <w:bCs/>
        </w:rPr>
        <w:t>ého zatěžovacího</w:t>
      </w:r>
      <w:r>
        <w:rPr>
          <w:rFonts w:asciiTheme="minorHAnsi" w:hAnsiTheme="minorHAnsi" w:cs="Arial"/>
          <w:bCs/>
        </w:rPr>
        <w:t xml:space="preserve"> proud</w:t>
      </w:r>
      <w:r w:rsidR="003E0471">
        <w:rPr>
          <w:rFonts w:asciiTheme="minorHAnsi" w:hAnsiTheme="minorHAnsi" w:cs="Arial"/>
          <w:bCs/>
        </w:rPr>
        <w:t>u</w:t>
      </w:r>
      <w:r>
        <w:rPr>
          <w:rFonts w:asciiTheme="minorHAnsi" w:hAnsiTheme="minorHAnsi" w:cs="Arial"/>
          <w:bCs/>
        </w:rPr>
        <w:t xml:space="preserve"> přepínacích kontaktů</w:t>
      </w:r>
      <w:r w:rsidR="003E0471">
        <w:rPr>
          <w:rFonts w:asciiTheme="minorHAnsi" w:hAnsiTheme="minorHAnsi" w:cs="Arial"/>
          <w:bCs/>
        </w:rPr>
        <w:t xml:space="preserve"> I=</w:t>
      </w:r>
      <w:r>
        <w:rPr>
          <w:rFonts w:asciiTheme="minorHAnsi" w:hAnsiTheme="minorHAnsi" w:cs="Arial"/>
          <w:bCs/>
        </w:rPr>
        <w:t>16A</w:t>
      </w:r>
      <w:r w:rsidR="003E0471">
        <w:rPr>
          <w:rFonts w:asciiTheme="minorHAnsi" w:hAnsiTheme="minorHAnsi" w:cs="Arial"/>
          <w:bCs/>
        </w:rPr>
        <w:t xml:space="preserve"> a spínacího výkonu </w:t>
      </w:r>
      <w:r>
        <w:rPr>
          <w:rFonts w:asciiTheme="minorHAnsi" w:hAnsiTheme="minorHAnsi" w:cs="Arial"/>
          <w:bCs/>
        </w:rPr>
        <w:t xml:space="preserve">4000VA. Zásuvkové vývody budou zatěžovány zlomkem jmenovitého proudu. </w:t>
      </w:r>
    </w:p>
    <w:p w:rsidR="00EA0F9E" w:rsidRPr="00857813" w:rsidRDefault="00EA0F9E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Přístroje dle výkresu </w:t>
      </w:r>
      <w:proofErr w:type="gramStart"/>
      <w:r>
        <w:rPr>
          <w:rFonts w:asciiTheme="minorHAnsi" w:hAnsiTheme="minorHAnsi" w:cs="Arial"/>
          <w:bCs/>
        </w:rPr>
        <w:t xml:space="preserve">č.4 </w:t>
      </w:r>
      <w:r w:rsidR="00FB56AC">
        <w:rPr>
          <w:rFonts w:asciiTheme="minorHAnsi" w:hAnsiTheme="minorHAnsi" w:cs="Arial"/>
          <w:bCs/>
        </w:rPr>
        <w:t>mohou</w:t>
      </w:r>
      <w:proofErr w:type="gramEnd"/>
      <w:r w:rsidR="00FB56AC">
        <w:rPr>
          <w:rFonts w:asciiTheme="minorHAnsi" w:hAnsiTheme="minorHAnsi" w:cs="Arial"/>
          <w:bCs/>
        </w:rPr>
        <w:t xml:space="preserve"> být</w:t>
      </w:r>
      <w:r>
        <w:rPr>
          <w:rFonts w:asciiTheme="minorHAnsi" w:hAnsiTheme="minorHAnsi" w:cs="Arial"/>
          <w:bCs/>
        </w:rPr>
        <w:t xml:space="preserve"> instalovány do nástěnné </w:t>
      </w:r>
      <w:proofErr w:type="spellStart"/>
      <w:r w:rsidR="00FB56AC">
        <w:rPr>
          <w:rFonts w:asciiTheme="minorHAnsi" w:hAnsiTheme="minorHAnsi" w:cs="Arial"/>
          <w:bCs/>
        </w:rPr>
        <w:t>čtyřmodulové</w:t>
      </w:r>
      <w:proofErr w:type="spellEnd"/>
      <w:r w:rsidR="00FB56AC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>rozvodnice</w:t>
      </w:r>
      <w:r w:rsidR="00FB56AC">
        <w:rPr>
          <w:rFonts w:asciiTheme="minorHAnsi" w:hAnsiTheme="minorHAnsi" w:cs="Arial"/>
          <w:bCs/>
        </w:rPr>
        <w:t xml:space="preserve"> s plnými dvířky. </w:t>
      </w:r>
    </w:p>
    <w:p w:rsidR="009D02F2" w:rsidRDefault="009D02F2" w:rsidP="00857813">
      <w:pPr>
        <w:spacing w:after="0"/>
        <w:jc w:val="both"/>
      </w:pPr>
    </w:p>
    <w:p w:rsidR="00C77B43" w:rsidRPr="00DE69DD" w:rsidRDefault="00C77B43" w:rsidP="00960C99">
      <w:pPr>
        <w:numPr>
          <w:ilvl w:val="0"/>
          <w:numId w:val="3"/>
        </w:numPr>
        <w:spacing w:after="0" w:line="360" w:lineRule="auto"/>
        <w:ind w:left="284" w:hanging="284"/>
        <w:rPr>
          <w:b/>
          <w:i/>
          <w:sz w:val="24"/>
          <w:szCs w:val="24"/>
        </w:rPr>
      </w:pPr>
      <w:r w:rsidRPr="00DE69DD">
        <w:rPr>
          <w:b/>
          <w:i/>
          <w:sz w:val="24"/>
          <w:szCs w:val="24"/>
        </w:rPr>
        <w:t>Připojení do provozu.</w:t>
      </w:r>
    </w:p>
    <w:p w:rsidR="00C77B43" w:rsidRDefault="00C77B43" w:rsidP="00960C99">
      <w:pPr>
        <w:tabs>
          <w:tab w:val="left" w:pos="142"/>
        </w:tabs>
        <w:spacing w:after="0"/>
        <w:jc w:val="both"/>
      </w:pPr>
      <w:r>
        <w:tab/>
      </w:r>
      <w:r w:rsidR="001A3659">
        <w:tab/>
      </w:r>
      <w:r w:rsidRPr="00C77B43">
        <w:t>Před prvotním uvedením zařízení do provozu musí být na zařízení provedena výchozí re</w:t>
      </w:r>
      <w:r>
        <w:t xml:space="preserve">vize. Protokol o výchozí revizi, stejně jako průvodní dokumentace, </w:t>
      </w:r>
      <w:r w:rsidRPr="00C77B43">
        <w:t>musí být uchován</w:t>
      </w:r>
      <w:r w:rsidR="003E0471">
        <w:t>y</w:t>
      </w:r>
      <w:r w:rsidRPr="00C77B43">
        <w:t xml:space="preserve"> provozovatelem zařízení po celou dobu </w:t>
      </w:r>
      <w:r>
        <w:t>ž</w:t>
      </w:r>
      <w:r w:rsidRPr="00C77B43">
        <w:t>ivotnosti</w:t>
      </w:r>
      <w:r>
        <w:t xml:space="preserve"> zařízení</w:t>
      </w:r>
      <w:r w:rsidRPr="00C77B43">
        <w:t xml:space="preserve">. </w:t>
      </w:r>
    </w:p>
    <w:p w:rsidR="00C77B43" w:rsidRDefault="00C77B43" w:rsidP="00960C99">
      <w:pPr>
        <w:tabs>
          <w:tab w:val="left" w:pos="142"/>
        </w:tabs>
        <w:spacing w:after="0"/>
        <w:jc w:val="both"/>
      </w:pPr>
      <w:r>
        <w:lastRenderedPageBreak/>
        <w:tab/>
      </w:r>
      <w:r w:rsidRPr="00C77B43">
        <w:t>V době zkušebního provozu je nezbytné sledovat funkčnost zařízení.</w:t>
      </w:r>
    </w:p>
    <w:p w:rsidR="004F38A7" w:rsidRDefault="004F38A7" w:rsidP="00960C99">
      <w:pPr>
        <w:tabs>
          <w:tab w:val="left" w:pos="142"/>
        </w:tabs>
        <w:spacing w:after="0"/>
        <w:jc w:val="both"/>
      </w:pPr>
    </w:p>
    <w:p w:rsidR="00FF7010" w:rsidRPr="00F744E6" w:rsidRDefault="00FF7010" w:rsidP="00960C99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cs="Arial"/>
          <w:b/>
          <w:bCs/>
          <w:i/>
          <w:sz w:val="24"/>
          <w:szCs w:val="24"/>
        </w:rPr>
      </w:pPr>
      <w:r w:rsidRPr="00F744E6">
        <w:rPr>
          <w:rFonts w:cs="Arial"/>
          <w:b/>
          <w:bCs/>
          <w:i/>
          <w:sz w:val="24"/>
          <w:szCs w:val="24"/>
        </w:rPr>
        <w:t>Záv</w:t>
      </w:r>
      <w:r w:rsidRPr="00F744E6">
        <w:rPr>
          <w:rFonts w:cs="Arial,Bold"/>
          <w:b/>
          <w:bCs/>
          <w:i/>
          <w:sz w:val="24"/>
          <w:szCs w:val="24"/>
        </w:rPr>
        <w:t>ě</w:t>
      </w:r>
      <w:r w:rsidRPr="00F744E6">
        <w:rPr>
          <w:rFonts w:cs="Arial"/>
          <w:b/>
          <w:bCs/>
          <w:i/>
          <w:sz w:val="24"/>
          <w:szCs w:val="24"/>
        </w:rPr>
        <w:t>re</w:t>
      </w:r>
      <w:r w:rsidRPr="00F744E6">
        <w:rPr>
          <w:rFonts w:cs="Arial,Bold"/>
          <w:b/>
          <w:bCs/>
          <w:i/>
          <w:sz w:val="24"/>
          <w:szCs w:val="24"/>
        </w:rPr>
        <w:t>č</w:t>
      </w:r>
      <w:r w:rsidRPr="00F744E6">
        <w:rPr>
          <w:rFonts w:cs="Arial"/>
          <w:b/>
          <w:bCs/>
          <w:i/>
          <w:sz w:val="24"/>
          <w:szCs w:val="24"/>
        </w:rPr>
        <w:t>né ustanovení</w:t>
      </w:r>
    </w:p>
    <w:p w:rsidR="00FF7010" w:rsidRDefault="00FF7010" w:rsidP="001A3659">
      <w:pPr>
        <w:autoSpaceDE w:val="0"/>
        <w:autoSpaceDN w:val="0"/>
        <w:adjustRightInd w:val="0"/>
        <w:ind w:firstLine="284"/>
        <w:jc w:val="both"/>
        <w:rPr>
          <w:rFonts w:cs="Arial"/>
        </w:rPr>
      </w:pPr>
      <w:r w:rsidRPr="00147116">
        <w:rPr>
          <w:rFonts w:cs="Arial"/>
        </w:rPr>
        <w:t xml:space="preserve">Tato technická zpráva doplňuje výkresovou část </w:t>
      </w:r>
      <w:r w:rsidR="00F744E6">
        <w:rPr>
          <w:rFonts w:cs="Arial"/>
        </w:rPr>
        <w:t xml:space="preserve">dokumentace </w:t>
      </w:r>
      <w:r w:rsidRPr="00147116">
        <w:rPr>
          <w:rFonts w:cs="Arial"/>
        </w:rPr>
        <w:t>a je nedílnou součástí projektu</w:t>
      </w:r>
      <w:r w:rsidR="00F744E6">
        <w:rPr>
          <w:rFonts w:cs="Arial"/>
        </w:rPr>
        <w:t xml:space="preserve"> jako celku</w:t>
      </w:r>
      <w:r w:rsidRPr="00147116">
        <w:rPr>
          <w:rFonts w:cs="Arial"/>
        </w:rPr>
        <w:t>.</w:t>
      </w:r>
      <w:r w:rsidR="00F744E6">
        <w:rPr>
          <w:rFonts w:cs="Arial"/>
        </w:rPr>
        <w:t xml:space="preserve"> </w:t>
      </w:r>
    </w:p>
    <w:p w:rsidR="00452B8B" w:rsidRDefault="00452B8B" w:rsidP="001A3659">
      <w:pPr>
        <w:autoSpaceDE w:val="0"/>
        <w:autoSpaceDN w:val="0"/>
        <w:adjustRightInd w:val="0"/>
        <w:ind w:firstLine="284"/>
        <w:jc w:val="both"/>
        <w:rPr>
          <w:rFonts w:cs="Arial"/>
        </w:rPr>
      </w:pPr>
      <w:r>
        <w:rPr>
          <w:rFonts w:cs="Arial"/>
        </w:rPr>
        <w:t xml:space="preserve">Změny projektu proti navrženému řešení musí být vždy konzultovány a schváleny technickým dozorem investora a následně musí být vždy zaznamenány do montážního deníku stavby. </w:t>
      </w:r>
    </w:p>
    <w:p w:rsidR="0088071B" w:rsidRPr="0088071B" w:rsidRDefault="0088071B" w:rsidP="001A3659">
      <w:pPr>
        <w:autoSpaceDE w:val="0"/>
        <w:autoSpaceDN w:val="0"/>
        <w:adjustRightInd w:val="0"/>
        <w:ind w:firstLine="284"/>
        <w:jc w:val="both"/>
        <w:rPr>
          <w:rFonts w:cs="Arial"/>
        </w:rPr>
      </w:pPr>
      <w:r>
        <w:rPr>
          <w:rFonts w:cs="Arial"/>
        </w:rPr>
        <w:t xml:space="preserve">Projektová dokumentace smí být prezentována vždy pouze jako celek dle </w:t>
      </w:r>
      <w:r w:rsidRPr="0088071B">
        <w:rPr>
          <w:rFonts w:cs="Arial"/>
          <w:i/>
        </w:rPr>
        <w:t>Seznamu dokumentace</w:t>
      </w:r>
      <w:r>
        <w:rPr>
          <w:rFonts w:cs="Arial"/>
        </w:rPr>
        <w:t xml:space="preserve"> uvedeného na </w:t>
      </w:r>
      <w:r w:rsidR="003E0471">
        <w:rPr>
          <w:rFonts w:cs="Arial"/>
        </w:rPr>
        <w:t>první</w:t>
      </w:r>
      <w:r>
        <w:rPr>
          <w:rFonts w:cs="Arial"/>
        </w:rPr>
        <w:t xml:space="preserve"> straně složky. </w:t>
      </w:r>
    </w:p>
    <w:p w:rsidR="00FF7010" w:rsidRPr="00147116" w:rsidRDefault="00FF7010" w:rsidP="00960C99">
      <w:pPr>
        <w:spacing w:before="120"/>
        <w:ind w:left="284" w:hanging="284"/>
        <w:jc w:val="both"/>
        <w:rPr>
          <w:rFonts w:cs="Arial"/>
        </w:rPr>
      </w:pPr>
    </w:p>
    <w:p w:rsidR="00FF7010" w:rsidRPr="00F744E6" w:rsidRDefault="00FF7010" w:rsidP="00960C9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cs="Arial"/>
          <w:b/>
          <w:bCs/>
          <w:i/>
          <w:sz w:val="24"/>
          <w:szCs w:val="24"/>
        </w:rPr>
      </w:pPr>
      <w:r w:rsidRPr="00F744E6">
        <w:rPr>
          <w:rFonts w:cs="Arial"/>
          <w:b/>
          <w:bCs/>
          <w:i/>
          <w:sz w:val="24"/>
          <w:szCs w:val="24"/>
        </w:rPr>
        <w:t>Související p</w:t>
      </w:r>
      <w:r w:rsidRPr="00F744E6">
        <w:rPr>
          <w:rFonts w:cs="Arial,Bold"/>
          <w:b/>
          <w:bCs/>
          <w:i/>
          <w:sz w:val="24"/>
          <w:szCs w:val="24"/>
        </w:rPr>
        <w:t>ř</w:t>
      </w:r>
      <w:r w:rsidRPr="00F744E6">
        <w:rPr>
          <w:rFonts w:cs="Arial"/>
          <w:b/>
          <w:bCs/>
          <w:i/>
          <w:sz w:val="24"/>
          <w:szCs w:val="24"/>
        </w:rPr>
        <w:t>edpisy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Elektrická instalace musí být provedena a musí vyhovovat doporučeným a závazným normám ČSN, zejména dle ČSN 33 2000-4-41 ed.</w:t>
      </w:r>
      <w:r w:rsidR="00414120">
        <w:t>3</w:t>
      </w:r>
      <w:r w:rsidRPr="00AA7CA8">
        <w:t>, dle ČSN 33 2130 ed.3, ČSN-EN 12464-1, ČSN 33 2000-5-52, ed.2. Instalace je schopna provozu po provedené výchozí revizi dle ČSN 332000 - 6 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Opravy a údržbu může provádět osoba s vyšší elektrotechnickou kvalifikací přezkoušena dle vyhlášky 50/78 sb. Obsluhu zařízení smí provádět osoby poučené. Na el. </w:t>
      </w:r>
      <w:proofErr w:type="gramStart"/>
      <w:r w:rsidRPr="00AA7CA8">
        <w:t>zařízeních</w:t>
      </w:r>
      <w:proofErr w:type="gramEnd"/>
      <w:r w:rsidRPr="00AA7CA8">
        <w:t xml:space="preserve"> musí být </w:t>
      </w:r>
      <w:r w:rsidR="00313504">
        <w:t xml:space="preserve">prováděná </w:t>
      </w:r>
      <w:r w:rsidRPr="00AA7CA8">
        <w:t>pravidelná údržba a revize dle ČSN 33 1500.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Elektromontáže musí provádět odborná firma pracovníky, kteří splňují podmínky </w:t>
      </w:r>
      <w:proofErr w:type="spellStart"/>
      <w:r w:rsidRPr="00AA7CA8">
        <w:t>Vyhl</w:t>
      </w:r>
      <w:proofErr w:type="spellEnd"/>
      <w:r w:rsidRPr="00AA7CA8">
        <w:t>. č.50/78sb a ČSN EN 50110-1 ed.3, ČSN EN 50110-2 ed.2, která provede i poučení zástupců investora.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Nařízení vlády č. 592/2006Sb. o podmínkách akreditace a provádění zkoušek odborné způsobilosti.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Elektroinstalace musí vyhovovat doporučeným a závazným normám EN ČSN, ČSN.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Zejména celé řadě norem ČSN, 33-2000- kapitoly 1 -7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2000-1, ed.2 Elektrotechnické předpisy. Elektrická zařízení. Část 1: Rozsah platnosti, účel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a základní hlediska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2000-2-21 Elektronické předpisy -Elektrická zařízení -Část 2: Definice - Kapitola 21: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Pokyn k používání všeobecných termínů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2000-4-41 ed.</w:t>
      </w:r>
      <w:r w:rsidR="00414120">
        <w:t>3</w:t>
      </w:r>
      <w:r w:rsidRPr="00AA7CA8">
        <w:t xml:space="preserve"> Elektrotechnické předpisy - Elektrická zařízeni -Část 4: Bezpečnost -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Kapitola 41: Ochrana před úrazem elektrickým proudem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2000-4-46 ed.2 Elektrotechnické předpisy. Elektrická zařízení. Část 4: Bezpečnost. Kapitola 46: Odpojování a spínání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2000-4-473 Elektrotechnické předpisy. Elektrická zařízení. Část 4: Bezpečnost. Kapitola 473: Opatření proti nadproudům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2000-5-51 ed.3 Elektrotechnické předpisy -332000 Elektrická zařízení - Část 5: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Výběr a stavba elektrických zařízení - Kapitola 51 : Všeobecné předpisy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2000-5-54 ed.3 Elektrotechnické předpisy. Elektrická zařízení. Část 5: Výběr a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stavba elektrických zařízení. Kapitola 54: Uzemnění a ochranné vodiče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ČSN 33 2180 Elektrotechnické předpisy ČSN. Připojování el. </w:t>
      </w:r>
      <w:proofErr w:type="gramStart"/>
      <w:r w:rsidRPr="00AA7CA8">
        <w:t>přístrojů</w:t>
      </w:r>
      <w:proofErr w:type="gramEnd"/>
      <w:r w:rsidRPr="00AA7CA8">
        <w:t xml:space="preserve"> a spotřebičů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2130 ed.3 Elektrické instalace nízkého napětí – Vnitřní elektrické rozvody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73 0848 Požární bezpečnost staveb – Kabelové rozvody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lastRenderedPageBreak/>
        <w:t xml:space="preserve">ČSN EN 50 110-1 </w:t>
      </w:r>
      <w:proofErr w:type="gramStart"/>
      <w:r w:rsidRPr="00AA7CA8">
        <w:t>ed.3  Elektrotechnické</w:t>
      </w:r>
      <w:proofErr w:type="gramEnd"/>
      <w:r w:rsidRPr="00AA7CA8">
        <w:t xml:space="preserve"> předpisy ČSN. Bezpečnostní předpisy pro obsluhu a práci na el. </w:t>
      </w:r>
      <w:proofErr w:type="gramStart"/>
      <w:r w:rsidRPr="00AA7CA8">
        <w:t>zařízeních</w:t>
      </w:r>
      <w:proofErr w:type="gramEnd"/>
    </w:p>
    <w:p w:rsidR="00AA7CA8" w:rsidRPr="00AA7CA8" w:rsidRDefault="00AA7CA8" w:rsidP="00960C99">
      <w:pPr>
        <w:pStyle w:val="Bezmezer"/>
        <w:spacing w:line="276" w:lineRule="auto"/>
      </w:pPr>
      <w:r w:rsidRPr="00AA7CA8">
        <w:t>Dále instalace musí vyhovovat normám požární bezpečnost staveb vyhlášky č.23/2008Sb.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Elektrotechnické výrobky a materiály musí být dle platných ČSN, nebo vydaný certifikát pro daný</w:t>
      </w:r>
      <w:r w:rsidR="00313504">
        <w:t xml:space="preserve"> </w:t>
      </w:r>
      <w:r w:rsidRPr="00AA7CA8">
        <w:t>účel.</w:t>
      </w:r>
    </w:p>
    <w:p w:rsidR="00AA7CA8" w:rsidRPr="00AA7CA8" w:rsidRDefault="00AA7CA8" w:rsidP="00960C99">
      <w:pPr>
        <w:pStyle w:val="Bezmezer"/>
        <w:spacing w:line="276" w:lineRule="auto"/>
        <w:rPr>
          <w:b/>
        </w:rPr>
      </w:pPr>
      <w:r w:rsidRPr="00AA7CA8">
        <w:t>Stanovené výrobky, které představují zvýšenou míru ohrožení</w:t>
      </w:r>
      <w:r w:rsidR="00452B8B">
        <w:t>,</w:t>
      </w:r>
      <w:r w:rsidRPr="00AA7CA8">
        <w:t xml:space="preserve"> musí mít vydáno písemné</w:t>
      </w:r>
      <w:r w:rsidR="00313504">
        <w:t xml:space="preserve"> </w:t>
      </w:r>
      <w:r w:rsidRPr="00AA7CA8">
        <w:t>prohlášení o shodě podle zákona 22/97Sb a výrobek označen označením CE. U výrobků</w:t>
      </w:r>
      <w:r w:rsidR="00313504">
        <w:t xml:space="preserve"> </w:t>
      </w:r>
      <w:r w:rsidRPr="00AA7CA8">
        <w:t>dovážených z oblasti mimo EU vydává prohlášení o shodě zplnomocněný zástupce výrobce.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  <w:bCs/>
        </w:rPr>
      </w:pPr>
      <w:r w:rsidRPr="00AA7CA8">
        <w:rPr>
          <w:b/>
          <w:bCs/>
        </w:rPr>
        <w:t>Technická specifikace v předpisech</w:t>
      </w:r>
    </w:p>
    <w:p w:rsidR="00AA7CA8" w:rsidRPr="00AA7CA8" w:rsidRDefault="00AA7CA8" w:rsidP="00960C99">
      <w:pPr>
        <w:pStyle w:val="Bezmezer"/>
        <w:spacing w:line="276" w:lineRule="auto"/>
        <w:jc w:val="both"/>
      </w:pPr>
      <w:r w:rsidRPr="00AA7CA8">
        <w:t>Zákon č. 22/1997 Sb., o technických požadavcích na výrobky a o změně a doplnění některých zákonů, ve znění zákona č. 71/2000 Sb., zákona č. 102/2001 Sb., zákona č.205/2002 Sb., zákona č. 226/2003 Sb. a zákona č. 277/2003 Sb. Vymezuje použití výrobků dle pl</w:t>
      </w:r>
      <w:r w:rsidR="00313504">
        <w:t xml:space="preserve">atných norem ČSN a EN pro danou </w:t>
      </w:r>
      <w:r w:rsidRPr="00AA7CA8">
        <w:t xml:space="preserve">stavbu. </w:t>
      </w:r>
    </w:p>
    <w:p w:rsidR="00AA7CA8" w:rsidRPr="00AA7CA8" w:rsidRDefault="00AA7CA8" w:rsidP="00960C99">
      <w:pPr>
        <w:pStyle w:val="Bezmezer"/>
        <w:spacing w:line="276" w:lineRule="auto"/>
        <w:jc w:val="both"/>
      </w:pPr>
      <w:r w:rsidRPr="00AA7CA8">
        <w:t xml:space="preserve">Elektroinstalace musí vyhovovat doporučeným a závazným normám EN ČSN, ČSN. ČSN 33 2000-1 ed.2. Elektrotechnické předpisy. Elektrické instalace budov. </w:t>
      </w:r>
    </w:p>
    <w:p w:rsidR="00AA7CA8" w:rsidRPr="00AA7CA8" w:rsidRDefault="00AA7CA8" w:rsidP="00960C99">
      <w:pPr>
        <w:pStyle w:val="Bezmezer"/>
        <w:spacing w:line="276" w:lineRule="auto"/>
        <w:jc w:val="both"/>
      </w:pPr>
      <w:r w:rsidRPr="00AA7CA8">
        <w:t>Stanovené výrobky, které představují zvýšenou míru ohrožení, musí mít vydáno písemné prohlášení o shodě podle zákona 22/97Sb a výrobek označen označením CE. U výrobků dovážených z oblasti mimo EU vydává prohlášení o shodě zplnomocněný zástupce výrobce.</w:t>
      </w:r>
    </w:p>
    <w:p w:rsidR="00D4114B" w:rsidRDefault="00D4114B" w:rsidP="00960C99">
      <w:pPr>
        <w:pStyle w:val="Bezmezer"/>
        <w:spacing w:line="276" w:lineRule="auto"/>
        <w:ind w:left="284" w:hanging="284"/>
        <w:rPr>
          <w:b/>
        </w:rPr>
      </w:pPr>
    </w:p>
    <w:p w:rsidR="00857813" w:rsidRDefault="00857813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rPr>
          <w:b/>
        </w:rPr>
        <w:t xml:space="preserve">Způsob likvidace odpadů ze stavební činnosti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Odpadový materiál vzniklý realizaci stavby bude likvidován v souladu se zákonem č.185/2001 Sb. o odpadech, ve znění pozdějších změn (dále jen zákon o odpadech), jeho prováděcích předpisů a na něj navazující vyhlášky Ministerstva životního prostředí č. 381/2001 Sb. ze dne 17. října 2001, kterou se stanoví Katalog odpadů, Seznam nebezpečných odpadů a Seznam odpadů. </w:t>
      </w:r>
    </w:p>
    <w:p w:rsidR="00857813" w:rsidRPr="00AA7CA8" w:rsidRDefault="00857813" w:rsidP="00960C99">
      <w:pPr>
        <w:pStyle w:val="Bezmezer"/>
        <w:spacing w:line="276" w:lineRule="auto"/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rPr>
          <w:b/>
        </w:rPr>
        <w:t xml:space="preserve">V oblasti ochrany životního prostředí je zadavatel a zhotovitel stavby povinen: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při realizaci všech činností na staveništi povinen postupovat s maximální šetrností k životnímu prostředí a dodržovat příslušné právní předpisy v platném znění, zejména: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zákon č. 185/2001 Sb., o odpadech ve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>- zákon č. 350/2011 Sb., o chemických látkách a chemických přípravcích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vyhláška o technických požadavcích na stavby - ve znění pozdějších předpisů: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minimalizuje dopady vyplývající z provádění prací na staveništi z hlediska hluku, vibrací, prašnosti (nařízení vlády č. 272/2011 Sb., o ochraně zdraví před nepříznivými účinky hluku a vibrací)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postupuje při likvidaci odpadu v souladu se zákonem č.185/2001 Sb. ve znění pozdějších předpisů, o odpadech, (zejména musí vést evidenci o nakládání s odpady podle §39, tato evidence je součástí dokumentace předkládané k přejímacímu řízení)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  <w:rPr>
          <w:b/>
        </w:rPr>
      </w:pPr>
      <w:r w:rsidRPr="00AA7CA8">
        <w:t>- speciální pozornost věnuje vzniku nebezpečného odpadu (nutné povolení k nakládání s nebezpečnými odpady pro danou lokalitu, všechny materiály, které obsahují složky uvedené v příloze 5 zákona) a dalším jmenovitým typům odpadů jako jsou oleje, maziva, baterie, azbest apod.</w:t>
      </w:r>
    </w:p>
    <w:p w:rsidR="00857813" w:rsidRPr="00AA7CA8" w:rsidRDefault="00857813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rPr>
          <w:b/>
        </w:rPr>
        <w:lastRenderedPageBreak/>
        <w:t>Zásady bezpečnosti a ochrany zdraví při práci na staveništi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Návrh vyhlášky o technických požadavcích na stavby stanoví povinnost dodržovat požadavky na zajištění bezpečnosti práce na staveništi v souladu s následujícími předpisy: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zákon č. 309/2006 Sb., o zajištění dalších podmínek bezpečnosti a ochrany zdraví při </w:t>
      </w:r>
      <w:r w:rsidR="00313504">
        <w:t>práci ve</w:t>
      </w:r>
      <w:r w:rsidRPr="00AA7CA8">
        <w:t xml:space="preserve">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zákon č. 262/2006 Sb., zákoník práce ve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591/2006 Sb., o bližších minimálních poža</w:t>
      </w:r>
      <w:r w:rsidR="00313504">
        <w:t>davcích na bezpečnost a ochranu</w:t>
      </w:r>
      <w:r w:rsidRPr="00AA7CA8">
        <w:t xml:space="preserve"> zdraví při práci na staveništích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nařízení vlády č. 362/2005 Sb., o bližších požadavcích na bezpečnost a ochranu zdraví při </w:t>
      </w:r>
      <w:r w:rsidR="00313504">
        <w:t xml:space="preserve">práci na </w:t>
      </w:r>
      <w:r w:rsidRPr="00AA7CA8">
        <w:t xml:space="preserve">pracovištích s nebezpečím pádu z výšky nebo do hloubky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101/2005 Sb., o podrobnějších požad</w:t>
      </w:r>
      <w:r w:rsidR="00313504">
        <w:t>avcích na pracoviště a pracovní</w:t>
      </w:r>
      <w:r w:rsidRPr="00AA7CA8">
        <w:t xml:space="preserve"> prostředí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361/2007 Sb., kterým se stanoví podmínky oc</w:t>
      </w:r>
      <w:r w:rsidR="00313504">
        <w:t xml:space="preserve">hrany zdraví při práci ve znění </w:t>
      </w:r>
      <w:r w:rsidRPr="00AA7CA8">
        <w:t xml:space="preserve">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201/2010 Sb. o způsobu a evidenci úraz</w:t>
      </w:r>
      <w:r w:rsidR="00313504">
        <w:t>ů, hlášení a zasílání záznamu o</w:t>
      </w:r>
      <w:r w:rsidRPr="00AA7CA8">
        <w:t xml:space="preserve"> úrazu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nařízení vlády č. 272/2011Sb., o ochraně zdraví před nepříznivými účinky hluku a vibrací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zákon č. 133/1985 Sb., o požární ochraně ve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vyhláška č. 23/2008 Sb., o technických podmínkách požární ochrany staveb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t>- vyhláška č. 268/2009 o technických požadavcích na stavby</w:t>
      </w:r>
    </w:p>
    <w:p w:rsidR="00FF7010" w:rsidRPr="00147116" w:rsidRDefault="00FF7010" w:rsidP="00960C99">
      <w:pPr>
        <w:pStyle w:val="Bezmezer"/>
        <w:spacing w:line="276" w:lineRule="auto"/>
        <w:ind w:left="284" w:hanging="284"/>
      </w:pPr>
    </w:p>
    <w:sectPr w:rsidR="00FF7010" w:rsidRPr="00147116" w:rsidSect="00D92E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CE7" w:rsidRDefault="00812CE7" w:rsidP="00DC423F">
      <w:pPr>
        <w:spacing w:after="0" w:line="240" w:lineRule="auto"/>
      </w:pPr>
      <w:r>
        <w:separator/>
      </w:r>
    </w:p>
  </w:endnote>
  <w:endnote w:type="continuationSeparator" w:id="0">
    <w:p w:rsidR="00812CE7" w:rsidRDefault="00812CE7" w:rsidP="00DC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1DA" w:rsidRDefault="008A41DA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7DCF">
      <w:rPr>
        <w:noProof/>
      </w:rPr>
      <w:t>5</w:t>
    </w:r>
    <w:r>
      <w:fldChar w:fldCharType="end"/>
    </w:r>
  </w:p>
  <w:p w:rsidR="008A41DA" w:rsidRDefault="008A41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CE7" w:rsidRDefault="00812CE7" w:rsidP="00DC423F">
      <w:pPr>
        <w:spacing w:after="0" w:line="240" w:lineRule="auto"/>
      </w:pPr>
      <w:r>
        <w:separator/>
      </w:r>
    </w:p>
  </w:footnote>
  <w:footnote w:type="continuationSeparator" w:id="0">
    <w:p w:rsidR="00812CE7" w:rsidRDefault="00812CE7" w:rsidP="00DC423F">
      <w:pPr>
        <w:spacing w:after="0" w:line="240" w:lineRule="auto"/>
      </w:pPr>
      <w:r>
        <w:continuationSeparator/>
      </w:r>
    </w:p>
  </w:footnote>
  <w:footnote w:id="1">
    <w:p w:rsidR="00FB56AC" w:rsidRDefault="00FB56AC">
      <w:pPr>
        <w:pStyle w:val="Textpoznpodarou"/>
      </w:pPr>
      <w:r>
        <w:rPr>
          <w:rStyle w:val="Znakapoznpodarou"/>
        </w:rPr>
        <w:footnoteRef/>
      </w:r>
      <w:r>
        <w:t xml:space="preserve"> … uvedeno v technickém listu výrobce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1DA" w:rsidRPr="00B2045A" w:rsidRDefault="008A41DA" w:rsidP="00766D87">
    <w:pPr>
      <w:pStyle w:val="Zhlav"/>
      <w:spacing w:line="240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Archivní číslo: TZ</w:t>
    </w:r>
    <w:r w:rsidR="00DD367F">
      <w:rPr>
        <w:sz w:val="16"/>
        <w:szCs w:val="16"/>
      </w:rPr>
      <w:t>59</w:t>
    </w:r>
    <w:r>
      <w:rPr>
        <w:sz w:val="16"/>
        <w:szCs w:val="16"/>
      </w:rPr>
      <w:t>K2018</w:t>
    </w:r>
    <w:r w:rsidR="0043103D">
      <w:rPr>
        <w:sz w:val="16"/>
        <w:szCs w:val="16"/>
      </w:rPr>
      <w:t>/</w:t>
    </w:r>
    <w:r w:rsidR="00B14A96">
      <w:rPr>
        <w:sz w:val="16"/>
        <w:szCs w:val="16"/>
      </w:rPr>
      <w:t>D</w:t>
    </w:r>
    <w:r w:rsidR="0043103D">
      <w:rPr>
        <w:sz w:val="16"/>
        <w:szCs w:val="16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22AA3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BA7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D8B0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A926F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2287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C0E5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C8D2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14E0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9CC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967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7080B"/>
    <w:multiLevelType w:val="hybridMultilevel"/>
    <w:tmpl w:val="AD74B22A"/>
    <w:lvl w:ilvl="0" w:tplc="B512FFCA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B374DCF"/>
    <w:multiLevelType w:val="hybridMultilevel"/>
    <w:tmpl w:val="7C52F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E61D3"/>
    <w:multiLevelType w:val="hybridMultilevel"/>
    <w:tmpl w:val="40AC7C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F67FF5"/>
    <w:multiLevelType w:val="hybridMultilevel"/>
    <w:tmpl w:val="6250FC72"/>
    <w:lvl w:ilvl="0" w:tplc="EC086E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A4BC4"/>
    <w:multiLevelType w:val="hybridMultilevel"/>
    <w:tmpl w:val="DEF890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915DB"/>
    <w:multiLevelType w:val="hybridMultilevel"/>
    <w:tmpl w:val="D0C83D6A"/>
    <w:lvl w:ilvl="0" w:tplc="5BB24D16">
      <w:start w:val="1"/>
      <w:numFmt w:val="decimal"/>
      <w:lvlText w:val="%1."/>
      <w:lvlJc w:val="left"/>
      <w:pPr>
        <w:ind w:left="21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6" w:hanging="360"/>
      </w:pPr>
    </w:lvl>
    <w:lvl w:ilvl="2" w:tplc="0405001B" w:tentative="1">
      <w:start w:val="1"/>
      <w:numFmt w:val="lowerRoman"/>
      <w:lvlText w:val="%3."/>
      <w:lvlJc w:val="right"/>
      <w:pPr>
        <w:ind w:left="3606" w:hanging="180"/>
      </w:pPr>
    </w:lvl>
    <w:lvl w:ilvl="3" w:tplc="0405000F" w:tentative="1">
      <w:start w:val="1"/>
      <w:numFmt w:val="decimal"/>
      <w:lvlText w:val="%4."/>
      <w:lvlJc w:val="left"/>
      <w:pPr>
        <w:ind w:left="4326" w:hanging="360"/>
      </w:pPr>
    </w:lvl>
    <w:lvl w:ilvl="4" w:tplc="04050019" w:tentative="1">
      <w:start w:val="1"/>
      <w:numFmt w:val="lowerLetter"/>
      <w:lvlText w:val="%5."/>
      <w:lvlJc w:val="left"/>
      <w:pPr>
        <w:ind w:left="5046" w:hanging="360"/>
      </w:pPr>
    </w:lvl>
    <w:lvl w:ilvl="5" w:tplc="0405001B" w:tentative="1">
      <w:start w:val="1"/>
      <w:numFmt w:val="lowerRoman"/>
      <w:lvlText w:val="%6."/>
      <w:lvlJc w:val="right"/>
      <w:pPr>
        <w:ind w:left="5766" w:hanging="180"/>
      </w:pPr>
    </w:lvl>
    <w:lvl w:ilvl="6" w:tplc="0405000F" w:tentative="1">
      <w:start w:val="1"/>
      <w:numFmt w:val="decimal"/>
      <w:lvlText w:val="%7."/>
      <w:lvlJc w:val="left"/>
      <w:pPr>
        <w:ind w:left="6486" w:hanging="360"/>
      </w:pPr>
    </w:lvl>
    <w:lvl w:ilvl="7" w:tplc="04050019" w:tentative="1">
      <w:start w:val="1"/>
      <w:numFmt w:val="lowerLetter"/>
      <w:lvlText w:val="%8."/>
      <w:lvlJc w:val="left"/>
      <w:pPr>
        <w:ind w:left="7206" w:hanging="360"/>
      </w:pPr>
    </w:lvl>
    <w:lvl w:ilvl="8" w:tplc="0405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16" w15:restartNumberingAfterBreak="0">
    <w:nsid w:val="34C102C3"/>
    <w:multiLevelType w:val="hybridMultilevel"/>
    <w:tmpl w:val="31669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C18BF"/>
    <w:multiLevelType w:val="hybridMultilevel"/>
    <w:tmpl w:val="041CE7E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5F50184"/>
    <w:multiLevelType w:val="hybridMultilevel"/>
    <w:tmpl w:val="C4020B80"/>
    <w:lvl w:ilvl="0" w:tplc="1F961D5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D2034"/>
    <w:multiLevelType w:val="hybridMultilevel"/>
    <w:tmpl w:val="5DD898D0"/>
    <w:lvl w:ilvl="0" w:tplc="04050003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67675"/>
    <w:multiLevelType w:val="hybridMultilevel"/>
    <w:tmpl w:val="7B526C7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33857"/>
    <w:multiLevelType w:val="hybridMultilevel"/>
    <w:tmpl w:val="23EA51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4F44AD7"/>
    <w:multiLevelType w:val="hybridMultilevel"/>
    <w:tmpl w:val="97C88078"/>
    <w:lvl w:ilvl="0" w:tplc="05808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10C"/>
    <w:multiLevelType w:val="hybridMultilevel"/>
    <w:tmpl w:val="D05267D4"/>
    <w:lvl w:ilvl="0" w:tplc="05808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3A55B1"/>
    <w:multiLevelType w:val="hybridMultilevel"/>
    <w:tmpl w:val="E09A1BD8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77C1C"/>
    <w:multiLevelType w:val="hybridMultilevel"/>
    <w:tmpl w:val="C9AEB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34CAF"/>
    <w:multiLevelType w:val="multilevel"/>
    <w:tmpl w:val="431AD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48" w:hanging="180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25"/>
  </w:num>
  <w:num w:numId="4">
    <w:abstractNumId w:val="23"/>
  </w:num>
  <w:num w:numId="5">
    <w:abstractNumId w:val="22"/>
  </w:num>
  <w:num w:numId="6">
    <w:abstractNumId w:val="10"/>
  </w:num>
  <w:num w:numId="7">
    <w:abstractNumId w:val="24"/>
  </w:num>
  <w:num w:numId="8">
    <w:abstractNumId w:val="11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2"/>
  </w:num>
  <w:num w:numId="21">
    <w:abstractNumId w:val="13"/>
  </w:num>
  <w:num w:numId="22">
    <w:abstractNumId w:val="19"/>
  </w:num>
  <w:num w:numId="23">
    <w:abstractNumId w:val="21"/>
  </w:num>
  <w:num w:numId="24">
    <w:abstractNumId w:val="18"/>
  </w:num>
  <w:num w:numId="25">
    <w:abstractNumId w:val="14"/>
  </w:num>
  <w:num w:numId="26">
    <w:abstractNumId w:val="1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4E"/>
    <w:rsid w:val="00003E17"/>
    <w:rsid w:val="0000778F"/>
    <w:rsid w:val="000111BE"/>
    <w:rsid w:val="00011ED7"/>
    <w:rsid w:val="000138DD"/>
    <w:rsid w:val="00017C00"/>
    <w:rsid w:val="0002420B"/>
    <w:rsid w:val="000368CD"/>
    <w:rsid w:val="00037548"/>
    <w:rsid w:val="00061240"/>
    <w:rsid w:val="00063DE6"/>
    <w:rsid w:val="0007233B"/>
    <w:rsid w:val="000A280A"/>
    <w:rsid w:val="000A71EA"/>
    <w:rsid w:val="000A7F22"/>
    <w:rsid w:val="000B51EF"/>
    <w:rsid w:val="000D00BA"/>
    <w:rsid w:val="000D6D69"/>
    <w:rsid w:val="000E367A"/>
    <w:rsid w:val="000E4006"/>
    <w:rsid w:val="000E40C6"/>
    <w:rsid w:val="000E7191"/>
    <w:rsid w:val="0010616B"/>
    <w:rsid w:val="0011024D"/>
    <w:rsid w:val="001127CD"/>
    <w:rsid w:val="00121D5C"/>
    <w:rsid w:val="001251DB"/>
    <w:rsid w:val="0013107C"/>
    <w:rsid w:val="00131F20"/>
    <w:rsid w:val="0013215B"/>
    <w:rsid w:val="001339C3"/>
    <w:rsid w:val="00147116"/>
    <w:rsid w:val="00172B98"/>
    <w:rsid w:val="001808CA"/>
    <w:rsid w:val="00186234"/>
    <w:rsid w:val="00186A49"/>
    <w:rsid w:val="00195790"/>
    <w:rsid w:val="001A1D9D"/>
    <w:rsid w:val="001A27D8"/>
    <w:rsid w:val="001A3196"/>
    <w:rsid w:val="001A3659"/>
    <w:rsid w:val="001A46C1"/>
    <w:rsid w:val="001B655B"/>
    <w:rsid w:val="001B6923"/>
    <w:rsid w:val="001C5620"/>
    <w:rsid w:val="001D1A89"/>
    <w:rsid w:val="001D41EC"/>
    <w:rsid w:val="001E2770"/>
    <w:rsid w:val="001E6A9E"/>
    <w:rsid w:val="001F1AC0"/>
    <w:rsid w:val="001F2F40"/>
    <w:rsid w:val="00200E7D"/>
    <w:rsid w:val="00202D4E"/>
    <w:rsid w:val="002049A6"/>
    <w:rsid w:val="00205F53"/>
    <w:rsid w:val="00217344"/>
    <w:rsid w:val="00221442"/>
    <w:rsid w:val="0022552F"/>
    <w:rsid w:val="002307A1"/>
    <w:rsid w:val="00234F48"/>
    <w:rsid w:val="00240989"/>
    <w:rsid w:val="00240B7D"/>
    <w:rsid w:val="00250FF1"/>
    <w:rsid w:val="00257B0B"/>
    <w:rsid w:val="0026675A"/>
    <w:rsid w:val="002673DF"/>
    <w:rsid w:val="00281D44"/>
    <w:rsid w:val="0028521B"/>
    <w:rsid w:val="00297872"/>
    <w:rsid w:val="002A7192"/>
    <w:rsid w:val="002B0CCD"/>
    <w:rsid w:val="002B3091"/>
    <w:rsid w:val="002D789D"/>
    <w:rsid w:val="002E3DEC"/>
    <w:rsid w:val="002E4796"/>
    <w:rsid w:val="002F1FAC"/>
    <w:rsid w:val="002F43F8"/>
    <w:rsid w:val="002F560E"/>
    <w:rsid w:val="003033C6"/>
    <w:rsid w:val="00311E10"/>
    <w:rsid w:val="003134EC"/>
    <w:rsid w:val="00313504"/>
    <w:rsid w:val="00320BE7"/>
    <w:rsid w:val="00321F96"/>
    <w:rsid w:val="00334C04"/>
    <w:rsid w:val="00341755"/>
    <w:rsid w:val="00344346"/>
    <w:rsid w:val="0035442B"/>
    <w:rsid w:val="00354A8D"/>
    <w:rsid w:val="003640F0"/>
    <w:rsid w:val="0036446B"/>
    <w:rsid w:val="0038414D"/>
    <w:rsid w:val="003A13C3"/>
    <w:rsid w:val="003A7749"/>
    <w:rsid w:val="003B422C"/>
    <w:rsid w:val="003C2CE9"/>
    <w:rsid w:val="003C5E6E"/>
    <w:rsid w:val="003E0471"/>
    <w:rsid w:val="003E051E"/>
    <w:rsid w:val="003E21FA"/>
    <w:rsid w:val="003E6B93"/>
    <w:rsid w:val="00401D9E"/>
    <w:rsid w:val="004134A4"/>
    <w:rsid w:val="00414120"/>
    <w:rsid w:val="00417E42"/>
    <w:rsid w:val="004262AE"/>
    <w:rsid w:val="0043103D"/>
    <w:rsid w:val="00436B34"/>
    <w:rsid w:val="00436D2B"/>
    <w:rsid w:val="00452809"/>
    <w:rsid w:val="00452B8B"/>
    <w:rsid w:val="00455197"/>
    <w:rsid w:val="004655F0"/>
    <w:rsid w:val="004664F2"/>
    <w:rsid w:val="00475E62"/>
    <w:rsid w:val="004A1D83"/>
    <w:rsid w:val="004B3158"/>
    <w:rsid w:val="004C4891"/>
    <w:rsid w:val="004E1AC1"/>
    <w:rsid w:val="004E3FEE"/>
    <w:rsid w:val="004F0282"/>
    <w:rsid w:val="004F38A7"/>
    <w:rsid w:val="00500C89"/>
    <w:rsid w:val="00502152"/>
    <w:rsid w:val="0050242D"/>
    <w:rsid w:val="005054E5"/>
    <w:rsid w:val="0052264F"/>
    <w:rsid w:val="005274B9"/>
    <w:rsid w:val="00536377"/>
    <w:rsid w:val="005437E5"/>
    <w:rsid w:val="0054673F"/>
    <w:rsid w:val="005803C5"/>
    <w:rsid w:val="00583C4E"/>
    <w:rsid w:val="0058410D"/>
    <w:rsid w:val="00592D47"/>
    <w:rsid w:val="0059746F"/>
    <w:rsid w:val="005B494C"/>
    <w:rsid w:val="005B57B5"/>
    <w:rsid w:val="005B6637"/>
    <w:rsid w:val="005C4BA9"/>
    <w:rsid w:val="005D2ED3"/>
    <w:rsid w:val="005D5037"/>
    <w:rsid w:val="005E61F8"/>
    <w:rsid w:val="005F0876"/>
    <w:rsid w:val="00600FB2"/>
    <w:rsid w:val="00604655"/>
    <w:rsid w:val="00605770"/>
    <w:rsid w:val="0060695E"/>
    <w:rsid w:val="00606BB2"/>
    <w:rsid w:val="00612BB0"/>
    <w:rsid w:val="00621C5A"/>
    <w:rsid w:val="00622CED"/>
    <w:rsid w:val="00626BAE"/>
    <w:rsid w:val="0063322C"/>
    <w:rsid w:val="006408E5"/>
    <w:rsid w:val="0065507C"/>
    <w:rsid w:val="006614A2"/>
    <w:rsid w:val="00690B3E"/>
    <w:rsid w:val="00690C6A"/>
    <w:rsid w:val="00691E04"/>
    <w:rsid w:val="00693AD9"/>
    <w:rsid w:val="006A2A81"/>
    <w:rsid w:val="006B4DF9"/>
    <w:rsid w:val="006B5BA9"/>
    <w:rsid w:val="006C5986"/>
    <w:rsid w:val="006D6D5D"/>
    <w:rsid w:val="006E541E"/>
    <w:rsid w:val="006F103E"/>
    <w:rsid w:val="006F4680"/>
    <w:rsid w:val="0070327B"/>
    <w:rsid w:val="00707AD7"/>
    <w:rsid w:val="007102C1"/>
    <w:rsid w:val="007130DF"/>
    <w:rsid w:val="0071740E"/>
    <w:rsid w:val="007263A5"/>
    <w:rsid w:val="007401BB"/>
    <w:rsid w:val="0074195B"/>
    <w:rsid w:val="00742CAE"/>
    <w:rsid w:val="007446A8"/>
    <w:rsid w:val="00746AF5"/>
    <w:rsid w:val="0075268D"/>
    <w:rsid w:val="00757B86"/>
    <w:rsid w:val="00764E36"/>
    <w:rsid w:val="00766D87"/>
    <w:rsid w:val="00770BDD"/>
    <w:rsid w:val="007737B8"/>
    <w:rsid w:val="00781216"/>
    <w:rsid w:val="007812D6"/>
    <w:rsid w:val="00787FC9"/>
    <w:rsid w:val="007A042A"/>
    <w:rsid w:val="007A1A90"/>
    <w:rsid w:val="007A69DA"/>
    <w:rsid w:val="007B57BF"/>
    <w:rsid w:val="007C1A24"/>
    <w:rsid w:val="007C4881"/>
    <w:rsid w:val="007D16EC"/>
    <w:rsid w:val="007D1F27"/>
    <w:rsid w:val="007D621E"/>
    <w:rsid w:val="007E227C"/>
    <w:rsid w:val="007E472C"/>
    <w:rsid w:val="00801CCD"/>
    <w:rsid w:val="008038C3"/>
    <w:rsid w:val="00812CE7"/>
    <w:rsid w:val="008136D1"/>
    <w:rsid w:val="00825C21"/>
    <w:rsid w:val="008351CB"/>
    <w:rsid w:val="00850D37"/>
    <w:rsid w:val="00857813"/>
    <w:rsid w:val="008604CF"/>
    <w:rsid w:val="00861DE1"/>
    <w:rsid w:val="00863641"/>
    <w:rsid w:val="0088071B"/>
    <w:rsid w:val="00883BBA"/>
    <w:rsid w:val="00890013"/>
    <w:rsid w:val="008A41DA"/>
    <w:rsid w:val="008A79EE"/>
    <w:rsid w:val="008A7E7C"/>
    <w:rsid w:val="008C1C09"/>
    <w:rsid w:val="008C328E"/>
    <w:rsid w:val="008C61F6"/>
    <w:rsid w:val="008D1151"/>
    <w:rsid w:val="008D13D3"/>
    <w:rsid w:val="008D7664"/>
    <w:rsid w:val="008D7D40"/>
    <w:rsid w:val="008E6602"/>
    <w:rsid w:val="008F0357"/>
    <w:rsid w:val="009003EE"/>
    <w:rsid w:val="00905B50"/>
    <w:rsid w:val="009113E9"/>
    <w:rsid w:val="009129C6"/>
    <w:rsid w:val="00913DB1"/>
    <w:rsid w:val="00921744"/>
    <w:rsid w:val="00923848"/>
    <w:rsid w:val="00954579"/>
    <w:rsid w:val="00960C99"/>
    <w:rsid w:val="00964A0A"/>
    <w:rsid w:val="009656B6"/>
    <w:rsid w:val="00967025"/>
    <w:rsid w:val="009766E5"/>
    <w:rsid w:val="0098226E"/>
    <w:rsid w:val="00982740"/>
    <w:rsid w:val="00984BC3"/>
    <w:rsid w:val="00987351"/>
    <w:rsid w:val="00990F76"/>
    <w:rsid w:val="0099110D"/>
    <w:rsid w:val="00992574"/>
    <w:rsid w:val="009A5299"/>
    <w:rsid w:val="009C2185"/>
    <w:rsid w:val="009C21AA"/>
    <w:rsid w:val="009C6A51"/>
    <w:rsid w:val="009D02F2"/>
    <w:rsid w:val="009D0E0C"/>
    <w:rsid w:val="009D4794"/>
    <w:rsid w:val="009D4955"/>
    <w:rsid w:val="009F5040"/>
    <w:rsid w:val="009F525F"/>
    <w:rsid w:val="00A0344E"/>
    <w:rsid w:val="00A146AB"/>
    <w:rsid w:val="00A20446"/>
    <w:rsid w:val="00A23761"/>
    <w:rsid w:val="00A25E66"/>
    <w:rsid w:val="00A32928"/>
    <w:rsid w:val="00A51C1D"/>
    <w:rsid w:val="00A56A04"/>
    <w:rsid w:val="00A70073"/>
    <w:rsid w:val="00A778BE"/>
    <w:rsid w:val="00A8005C"/>
    <w:rsid w:val="00A91DD3"/>
    <w:rsid w:val="00A94414"/>
    <w:rsid w:val="00AA01BB"/>
    <w:rsid w:val="00AA5673"/>
    <w:rsid w:val="00AA5D95"/>
    <w:rsid w:val="00AA7CA8"/>
    <w:rsid w:val="00AB3626"/>
    <w:rsid w:val="00AC145F"/>
    <w:rsid w:val="00AC4185"/>
    <w:rsid w:val="00AD7D9A"/>
    <w:rsid w:val="00AE1146"/>
    <w:rsid w:val="00AE26AB"/>
    <w:rsid w:val="00B006DC"/>
    <w:rsid w:val="00B14A96"/>
    <w:rsid w:val="00B2045A"/>
    <w:rsid w:val="00B233CB"/>
    <w:rsid w:val="00B25A99"/>
    <w:rsid w:val="00B42C39"/>
    <w:rsid w:val="00B53B72"/>
    <w:rsid w:val="00B55873"/>
    <w:rsid w:val="00B574BF"/>
    <w:rsid w:val="00B62E93"/>
    <w:rsid w:val="00B64184"/>
    <w:rsid w:val="00B76DCE"/>
    <w:rsid w:val="00B802B7"/>
    <w:rsid w:val="00B81A4B"/>
    <w:rsid w:val="00B93582"/>
    <w:rsid w:val="00BA2B7C"/>
    <w:rsid w:val="00BA6E45"/>
    <w:rsid w:val="00BA785E"/>
    <w:rsid w:val="00BB09A7"/>
    <w:rsid w:val="00BB255A"/>
    <w:rsid w:val="00BC36F5"/>
    <w:rsid w:val="00BD3BFC"/>
    <w:rsid w:val="00C02D42"/>
    <w:rsid w:val="00C123EF"/>
    <w:rsid w:val="00C1243E"/>
    <w:rsid w:val="00C14700"/>
    <w:rsid w:val="00C2296E"/>
    <w:rsid w:val="00C27B22"/>
    <w:rsid w:val="00C31368"/>
    <w:rsid w:val="00C377F8"/>
    <w:rsid w:val="00C4049B"/>
    <w:rsid w:val="00C40FDB"/>
    <w:rsid w:val="00C4447A"/>
    <w:rsid w:val="00C537DC"/>
    <w:rsid w:val="00C67A05"/>
    <w:rsid w:val="00C706CF"/>
    <w:rsid w:val="00C75E0E"/>
    <w:rsid w:val="00C77B43"/>
    <w:rsid w:val="00C96166"/>
    <w:rsid w:val="00C97C44"/>
    <w:rsid w:val="00C97E2A"/>
    <w:rsid w:val="00CA0AA9"/>
    <w:rsid w:val="00CB1455"/>
    <w:rsid w:val="00CD0733"/>
    <w:rsid w:val="00CD4EE0"/>
    <w:rsid w:val="00CE0AC1"/>
    <w:rsid w:val="00CE1DFA"/>
    <w:rsid w:val="00CE75AC"/>
    <w:rsid w:val="00D01F22"/>
    <w:rsid w:val="00D02B06"/>
    <w:rsid w:val="00D10510"/>
    <w:rsid w:val="00D17535"/>
    <w:rsid w:val="00D20653"/>
    <w:rsid w:val="00D4114B"/>
    <w:rsid w:val="00D442E1"/>
    <w:rsid w:val="00D554FB"/>
    <w:rsid w:val="00D65532"/>
    <w:rsid w:val="00D74281"/>
    <w:rsid w:val="00D873BA"/>
    <w:rsid w:val="00D92EF8"/>
    <w:rsid w:val="00D94CB8"/>
    <w:rsid w:val="00DA3563"/>
    <w:rsid w:val="00DB6204"/>
    <w:rsid w:val="00DC215D"/>
    <w:rsid w:val="00DC423F"/>
    <w:rsid w:val="00DD3558"/>
    <w:rsid w:val="00DD367F"/>
    <w:rsid w:val="00DD4925"/>
    <w:rsid w:val="00DD5FC8"/>
    <w:rsid w:val="00DF0BE9"/>
    <w:rsid w:val="00DF1B57"/>
    <w:rsid w:val="00DF67C2"/>
    <w:rsid w:val="00E05ACE"/>
    <w:rsid w:val="00E1371E"/>
    <w:rsid w:val="00E14455"/>
    <w:rsid w:val="00E24FC7"/>
    <w:rsid w:val="00E301A3"/>
    <w:rsid w:val="00E37FE6"/>
    <w:rsid w:val="00E40A01"/>
    <w:rsid w:val="00E43249"/>
    <w:rsid w:val="00E45E3C"/>
    <w:rsid w:val="00E47DCF"/>
    <w:rsid w:val="00E6435A"/>
    <w:rsid w:val="00E6438E"/>
    <w:rsid w:val="00E74DE3"/>
    <w:rsid w:val="00E77A31"/>
    <w:rsid w:val="00E84C78"/>
    <w:rsid w:val="00E85448"/>
    <w:rsid w:val="00E945B6"/>
    <w:rsid w:val="00E95417"/>
    <w:rsid w:val="00E95FAC"/>
    <w:rsid w:val="00EA0F9E"/>
    <w:rsid w:val="00EA4536"/>
    <w:rsid w:val="00EB0A61"/>
    <w:rsid w:val="00EB4745"/>
    <w:rsid w:val="00EC3383"/>
    <w:rsid w:val="00ED1D78"/>
    <w:rsid w:val="00ED6AA3"/>
    <w:rsid w:val="00EF0B07"/>
    <w:rsid w:val="00EF529E"/>
    <w:rsid w:val="00EF5869"/>
    <w:rsid w:val="00EF7E83"/>
    <w:rsid w:val="00F11D06"/>
    <w:rsid w:val="00F14C4D"/>
    <w:rsid w:val="00F1766E"/>
    <w:rsid w:val="00F30D73"/>
    <w:rsid w:val="00F31D76"/>
    <w:rsid w:val="00F446F2"/>
    <w:rsid w:val="00F44E1F"/>
    <w:rsid w:val="00F65F83"/>
    <w:rsid w:val="00F71D56"/>
    <w:rsid w:val="00F71E8D"/>
    <w:rsid w:val="00F744E6"/>
    <w:rsid w:val="00F920C5"/>
    <w:rsid w:val="00F922A2"/>
    <w:rsid w:val="00FA2F4D"/>
    <w:rsid w:val="00FA6B0E"/>
    <w:rsid w:val="00FB56AC"/>
    <w:rsid w:val="00FB6833"/>
    <w:rsid w:val="00FC3312"/>
    <w:rsid w:val="00FC43E5"/>
    <w:rsid w:val="00FC6F27"/>
    <w:rsid w:val="00FE6D7E"/>
    <w:rsid w:val="00FF3FA1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6BBEC-DDBE-4F40-9296-E79A5AAC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EF8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50D37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2"/>
    </w:pPr>
    <w:rPr>
      <w:rFonts w:ascii="Arial" w:eastAsia="Times New Roman" w:hAnsi="Arial"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3C4E"/>
    <w:pPr>
      <w:ind w:left="720"/>
      <w:contextualSpacing/>
    </w:pPr>
  </w:style>
  <w:style w:type="table" w:styleId="Mkatabulky">
    <w:name w:val="Table Grid"/>
    <w:basedOn w:val="Normlntabulka"/>
    <w:uiPriority w:val="59"/>
    <w:rsid w:val="00FC33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DC42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C423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C42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C423F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E541E"/>
    <w:rPr>
      <w:sz w:val="20"/>
      <w:szCs w:val="20"/>
    </w:rPr>
  </w:style>
  <w:style w:type="character" w:styleId="Znakapoznpodarou">
    <w:name w:val="footnote reference"/>
    <w:rsid w:val="006E541E"/>
    <w:rPr>
      <w:vertAlign w:val="superscript"/>
    </w:rPr>
  </w:style>
  <w:style w:type="paragraph" w:styleId="Zkladntext2">
    <w:name w:val="Body Text 2"/>
    <w:basedOn w:val="Normln"/>
    <w:link w:val="Zkladntext2Char"/>
    <w:rsid w:val="00257B0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257B0B"/>
    <w:rPr>
      <w:rFonts w:ascii="Times New Roman" w:eastAsia="Times New Roman" w:hAnsi="Times New Roman"/>
      <w:sz w:val="24"/>
    </w:rPr>
  </w:style>
  <w:style w:type="character" w:customStyle="1" w:styleId="TextpoznpodarouChar">
    <w:name w:val="Text pozn. pod čarou Char"/>
    <w:link w:val="Textpoznpodarou"/>
    <w:rsid w:val="00257B0B"/>
    <w:rPr>
      <w:lang w:eastAsia="en-US"/>
    </w:rPr>
  </w:style>
  <w:style w:type="character" w:customStyle="1" w:styleId="Nadpis3Char">
    <w:name w:val="Nadpis 3 Char"/>
    <w:link w:val="Nadpis3"/>
    <w:rsid w:val="00850D37"/>
    <w:rPr>
      <w:rFonts w:ascii="Arial" w:eastAsia="Times New Roman" w:hAnsi="Arial"/>
      <w:sz w:val="24"/>
      <w:u w:val="single"/>
    </w:rPr>
  </w:style>
  <w:style w:type="paragraph" w:styleId="Zkladntext">
    <w:name w:val="Body Text"/>
    <w:basedOn w:val="Normln"/>
    <w:link w:val="ZkladntextChar"/>
    <w:rsid w:val="00850D37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rsid w:val="00850D37"/>
    <w:rPr>
      <w:rFonts w:ascii="Times New Roman" w:hAnsi="Times New Roman"/>
      <w:sz w:val="24"/>
      <w:szCs w:val="22"/>
      <w:lang w:eastAsia="en-US"/>
    </w:rPr>
  </w:style>
  <w:style w:type="paragraph" w:customStyle="1" w:styleId="Import9">
    <w:name w:val="Import 9"/>
    <w:basedOn w:val="Normln"/>
    <w:rsid w:val="00850D37"/>
    <w:pPr>
      <w:tabs>
        <w:tab w:val="left" w:pos="3888"/>
      </w:tabs>
      <w:suppressAutoHyphens/>
      <w:overflowPunct w:val="0"/>
      <w:autoSpaceDE w:val="0"/>
      <w:autoSpaceDN w:val="0"/>
      <w:adjustRightInd w:val="0"/>
      <w:spacing w:after="0" w:line="346" w:lineRule="auto"/>
      <w:textAlignment w:val="baseline"/>
    </w:pPr>
    <w:rPr>
      <w:rFonts w:ascii="Courier New" w:eastAsia="Times New Roman" w:hAnsi="Courier New"/>
      <w:sz w:val="24"/>
      <w:szCs w:val="20"/>
      <w:lang w:eastAsia="cs-CZ"/>
    </w:rPr>
  </w:style>
  <w:style w:type="paragraph" w:styleId="Bezmezer">
    <w:name w:val="No Spacing"/>
    <w:uiPriority w:val="1"/>
    <w:qFormat/>
    <w:rsid w:val="00850D37"/>
    <w:rPr>
      <w:sz w:val="22"/>
      <w:szCs w:val="22"/>
      <w:lang w:eastAsia="en-US"/>
    </w:rPr>
  </w:style>
  <w:style w:type="paragraph" w:customStyle="1" w:styleId="Holub-n">
    <w:name w:val="Holub-n"/>
    <w:basedOn w:val="Zkladntext"/>
    <w:rsid w:val="007263A5"/>
    <w:pPr>
      <w:spacing w:after="0"/>
    </w:pPr>
    <w:rPr>
      <w:rFonts w:ascii="Arial" w:eastAsia="Times New Roman" w:hAnsi="Arial"/>
      <w:sz w:val="22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7263A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7263A5"/>
    <w:rPr>
      <w:rFonts w:ascii="Times New Roman" w:eastAsia="Times New Roman" w:hAnsi="Times New Roman"/>
      <w:sz w:val="24"/>
      <w:szCs w:val="24"/>
    </w:rPr>
  </w:style>
  <w:style w:type="paragraph" w:customStyle="1" w:styleId="Normln1">
    <w:name w:val="Normální1"/>
    <w:basedOn w:val="Normln"/>
    <w:rsid w:val="00787FC9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A99EF-C97F-45F0-A0A6-0638917E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1585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Home</Company>
  <LinksUpToDate>false</LinksUpToDate>
  <CharactersWithSpaces>10916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Kubala</dc:creator>
  <cp:keywords/>
  <cp:lastModifiedBy>Admin</cp:lastModifiedBy>
  <cp:revision>5</cp:revision>
  <cp:lastPrinted>2013-10-06T21:32:00Z</cp:lastPrinted>
  <dcterms:created xsi:type="dcterms:W3CDTF">2019-01-14T17:35:00Z</dcterms:created>
  <dcterms:modified xsi:type="dcterms:W3CDTF">2019-01-16T09:02:00Z</dcterms:modified>
</cp:coreProperties>
</file>